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BDB4" w14:textId="47C33E8A" w:rsidR="005D0F03" w:rsidRPr="005D0F03" w:rsidRDefault="001900D5" w:rsidP="000D7217">
      <w:pPr>
        <w:pStyle w:val="ListParagraph"/>
        <w:spacing w:line="240" w:lineRule="auto"/>
        <w:ind w:left="0" w:firstLine="0"/>
        <w:contextualSpacing w:val="0"/>
        <w:jc w:val="left"/>
        <w:rPr>
          <w:rFonts w:ascii="Garamond" w:hAnsi="Garamond" w:cs="Times New Roman"/>
          <w:b/>
          <w:bCs/>
          <w:sz w:val="28"/>
          <w:szCs w:val="28"/>
          <w:lang w:val="id-ID"/>
        </w:rPr>
      </w:pPr>
      <w:r>
        <w:rPr>
          <w:rFonts w:ascii="Garamond" w:hAnsi="Garamond" w:cstheme="majorBidi"/>
          <w:b/>
          <w:bCs/>
          <w:sz w:val="28"/>
          <w:szCs w:val="28"/>
        </w:rPr>
        <w:t xml:space="preserve">IMPLEMENTASI </w:t>
      </w:r>
      <w:r w:rsidR="005D0F03" w:rsidRPr="005D0F03">
        <w:rPr>
          <w:rFonts w:ascii="Garamond" w:hAnsi="Garamond" w:cstheme="majorBidi"/>
          <w:b/>
          <w:bCs/>
          <w:sz w:val="28"/>
          <w:szCs w:val="28"/>
        </w:rPr>
        <w:t xml:space="preserve">MAHAR MENGGUNAKAN HAFALAN AL-QU’RAN DALAM PERSPEKTIF </w:t>
      </w:r>
      <w:r w:rsidR="005D0F03" w:rsidRPr="00231206">
        <w:rPr>
          <w:rFonts w:ascii="Garamond" w:hAnsi="Garamond" w:cstheme="majorBidi"/>
          <w:b/>
          <w:bCs/>
          <w:i/>
          <w:iCs/>
          <w:sz w:val="28"/>
          <w:szCs w:val="28"/>
        </w:rPr>
        <w:t>MAQASHID S</w:t>
      </w:r>
      <w:r w:rsidR="00231206">
        <w:rPr>
          <w:rFonts w:ascii="Garamond" w:hAnsi="Garamond" w:cstheme="majorBidi"/>
          <w:b/>
          <w:bCs/>
          <w:i/>
          <w:iCs/>
          <w:sz w:val="28"/>
          <w:szCs w:val="28"/>
        </w:rPr>
        <w:t>Y</w:t>
      </w:r>
      <w:r w:rsidR="005D0F03" w:rsidRPr="00231206">
        <w:rPr>
          <w:rFonts w:ascii="Garamond" w:hAnsi="Garamond" w:cstheme="majorBidi"/>
          <w:b/>
          <w:bCs/>
          <w:i/>
          <w:iCs/>
          <w:sz w:val="28"/>
          <w:szCs w:val="28"/>
        </w:rPr>
        <w:t>ARIAH</w:t>
      </w:r>
    </w:p>
    <w:p w14:paraId="560BC312" w14:textId="77777777" w:rsidR="009A4B02" w:rsidRPr="009A4B02" w:rsidRDefault="009A4B02" w:rsidP="007B12AD">
      <w:pPr>
        <w:pStyle w:val="ListParagraph"/>
        <w:spacing w:after="120" w:line="240" w:lineRule="auto"/>
        <w:ind w:left="0" w:firstLine="0"/>
        <w:contextualSpacing w:val="0"/>
        <w:jc w:val="left"/>
        <w:rPr>
          <w:rFonts w:ascii="Garamond" w:hAnsi="Garamond" w:cs="Times New Roman"/>
          <w:b/>
          <w:bCs/>
          <w:color w:val="C00000"/>
          <w:sz w:val="22"/>
          <w:lang w:val="id-ID"/>
        </w:rPr>
      </w:pPr>
    </w:p>
    <w:p w14:paraId="180D3FFD" w14:textId="5FCC7E78" w:rsidR="007B12AD" w:rsidRPr="000D7217" w:rsidRDefault="006079AD" w:rsidP="007B12AD">
      <w:pPr>
        <w:pStyle w:val="ListParagraph"/>
        <w:spacing w:after="120" w:line="240" w:lineRule="auto"/>
        <w:ind w:left="0" w:firstLine="0"/>
        <w:contextualSpacing w:val="0"/>
        <w:jc w:val="left"/>
        <w:rPr>
          <w:rFonts w:ascii="Garamond" w:hAnsi="Garamond" w:cs="Times New Roman"/>
          <w:b/>
          <w:bCs/>
          <w:szCs w:val="24"/>
          <w:vertAlign w:val="superscript"/>
          <w:lang w:val="en-AU"/>
        </w:rPr>
      </w:pPr>
      <w:r w:rsidRPr="000D7217">
        <w:rPr>
          <w:rFonts w:ascii="Garamond" w:hAnsi="Garamond" w:cs="Times New Roman"/>
          <w:b/>
          <w:bCs/>
          <w:szCs w:val="24"/>
        </w:rPr>
        <w:t>Aziz Sholeh</w:t>
      </w:r>
      <w:r w:rsidR="00914C58" w:rsidRPr="000D7217">
        <w:rPr>
          <w:rFonts w:ascii="Garamond" w:hAnsi="Garamond" w:cs="Times New Roman"/>
          <w:b/>
          <w:bCs/>
          <w:szCs w:val="24"/>
        </w:rPr>
        <w:t xml:space="preserve"> </w:t>
      </w:r>
      <w:r w:rsidR="007B12AD" w:rsidRPr="000D7217">
        <w:rPr>
          <w:rFonts w:ascii="Garamond" w:hAnsi="Garamond" w:cs="Times New Roman"/>
          <w:b/>
          <w:bCs/>
          <w:szCs w:val="24"/>
          <w:vertAlign w:val="superscript"/>
          <w:lang w:val="en-AU"/>
        </w:rPr>
        <w:t>1</w:t>
      </w:r>
      <w:r w:rsidR="007B12AD" w:rsidRPr="000D7217">
        <w:rPr>
          <w:rFonts w:ascii="Garamond" w:hAnsi="Garamond" w:cs="Times New Roman"/>
          <w:b/>
          <w:bCs/>
          <w:szCs w:val="24"/>
          <w:lang w:val="en-AU"/>
        </w:rPr>
        <w:t xml:space="preserve">, </w:t>
      </w:r>
      <w:r w:rsidRPr="000D7217">
        <w:rPr>
          <w:rFonts w:ascii="Garamond" w:hAnsi="Garamond" w:cs="Times New Roman"/>
          <w:b/>
          <w:bCs/>
          <w:szCs w:val="24"/>
        </w:rPr>
        <w:t>Zulbaidah</w:t>
      </w:r>
      <w:r w:rsidR="007B12AD" w:rsidRPr="000D7217">
        <w:rPr>
          <w:rFonts w:ascii="Garamond" w:hAnsi="Garamond" w:cs="Times New Roman"/>
          <w:b/>
          <w:bCs/>
          <w:szCs w:val="24"/>
          <w:lang w:val="id-ID"/>
        </w:rPr>
        <w:t xml:space="preserve"> </w:t>
      </w:r>
      <w:r w:rsidR="007B12AD" w:rsidRPr="000D7217">
        <w:rPr>
          <w:rFonts w:ascii="Garamond" w:hAnsi="Garamond" w:cs="Times New Roman"/>
          <w:b/>
          <w:bCs/>
          <w:szCs w:val="24"/>
          <w:vertAlign w:val="superscript"/>
          <w:lang w:val="en-AU"/>
        </w:rPr>
        <w:t>2</w:t>
      </w:r>
      <w:r w:rsidR="00A01B3E" w:rsidRPr="000D7217">
        <w:rPr>
          <w:rFonts w:ascii="Garamond" w:hAnsi="Garamond" w:cs="Times New Roman"/>
          <w:b/>
          <w:bCs/>
          <w:szCs w:val="24"/>
          <w:lang w:val="en-AU"/>
        </w:rPr>
        <w:t xml:space="preserve">, </w:t>
      </w:r>
      <w:r w:rsidRPr="000D7217">
        <w:rPr>
          <w:rFonts w:ascii="Garamond" w:hAnsi="Garamond" w:cs="Times New Roman"/>
          <w:b/>
          <w:bCs/>
          <w:szCs w:val="24"/>
          <w:lang w:val="en-AU"/>
        </w:rPr>
        <w:t>Enceng Arif Faisal</w:t>
      </w:r>
      <w:r w:rsidR="007B12AD" w:rsidRPr="000D7217">
        <w:rPr>
          <w:rFonts w:ascii="Garamond" w:hAnsi="Garamond" w:cs="Times New Roman"/>
          <w:b/>
          <w:bCs/>
          <w:szCs w:val="24"/>
          <w:vertAlign w:val="superscript"/>
          <w:lang w:val="en-AU"/>
        </w:rPr>
        <w:t xml:space="preserve"> 3</w:t>
      </w:r>
    </w:p>
    <w:p w14:paraId="4F5C828F" w14:textId="54364F48" w:rsidR="007942DA" w:rsidRPr="000D7217" w:rsidRDefault="007B12AD" w:rsidP="00086FC1">
      <w:pPr>
        <w:pStyle w:val="ListParagraph"/>
        <w:spacing w:line="276" w:lineRule="auto"/>
        <w:ind w:left="0" w:firstLine="0"/>
        <w:jc w:val="left"/>
        <w:rPr>
          <w:rFonts w:ascii="Garamond" w:hAnsi="Garamond" w:cs="Times New Roman"/>
          <w:i/>
          <w:iCs/>
          <w:szCs w:val="24"/>
        </w:rPr>
      </w:pPr>
      <w:r w:rsidRPr="000D7217">
        <w:rPr>
          <w:rFonts w:ascii="Garamond" w:hAnsi="Garamond" w:cs="Times New Roman"/>
          <w:b/>
          <w:bCs/>
          <w:szCs w:val="24"/>
          <w:vertAlign w:val="superscript"/>
          <w:lang w:val="en-AU"/>
        </w:rPr>
        <w:t xml:space="preserve">1 </w:t>
      </w:r>
      <w:r w:rsidR="006079AD" w:rsidRPr="000D7217">
        <w:rPr>
          <w:rFonts w:ascii="Garamond" w:hAnsi="Garamond" w:cs="Times New Roman"/>
          <w:i/>
          <w:iCs/>
          <w:szCs w:val="24"/>
          <w:lang w:val="en-AU"/>
        </w:rPr>
        <w:t>Universitas Islam Negeri Sunan Gunung Djati Bandung</w:t>
      </w:r>
      <w:r w:rsidR="007942DA" w:rsidRPr="000D7217">
        <w:rPr>
          <w:rFonts w:ascii="Garamond" w:hAnsi="Garamond" w:cs="Times New Roman"/>
          <w:i/>
          <w:iCs/>
          <w:szCs w:val="24"/>
          <w:lang w:val="id-ID"/>
        </w:rPr>
        <w:t xml:space="preserve">, </w:t>
      </w:r>
      <w:r w:rsidR="006079AD" w:rsidRPr="000D7217">
        <w:rPr>
          <w:rFonts w:ascii="Garamond" w:hAnsi="Garamond" w:cs="Times New Roman"/>
          <w:i/>
          <w:iCs/>
          <w:szCs w:val="24"/>
        </w:rPr>
        <w:t>Indonesia</w:t>
      </w:r>
    </w:p>
    <w:p w14:paraId="2B0983E3" w14:textId="0132CDCD" w:rsidR="007B12AD" w:rsidRPr="000D7217" w:rsidRDefault="007B12AD" w:rsidP="00086FC1">
      <w:pPr>
        <w:pStyle w:val="ListParagraph"/>
        <w:spacing w:line="276" w:lineRule="auto"/>
        <w:ind w:left="0" w:firstLine="0"/>
        <w:jc w:val="left"/>
        <w:rPr>
          <w:rFonts w:ascii="Garamond" w:hAnsi="Garamond" w:cs="Times New Roman"/>
          <w:i/>
          <w:iCs/>
          <w:szCs w:val="24"/>
        </w:rPr>
      </w:pPr>
      <w:r w:rsidRPr="000D7217">
        <w:rPr>
          <w:rFonts w:ascii="Garamond" w:hAnsi="Garamond" w:cs="Times New Roman"/>
          <w:i/>
          <w:iCs/>
          <w:szCs w:val="24"/>
          <w:vertAlign w:val="superscript"/>
          <w:lang w:val="en-AU"/>
        </w:rPr>
        <w:t xml:space="preserve">2 </w:t>
      </w:r>
      <w:r w:rsidR="006079AD" w:rsidRPr="000D7217">
        <w:rPr>
          <w:rFonts w:ascii="Garamond" w:hAnsi="Garamond" w:cs="Times New Roman"/>
          <w:i/>
          <w:iCs/>
          <w:szCs w:val="24"/>
          <w:lang w:val="en-AU"/>
        </w:rPr>
        <w:t>Universitas Islam Negeri Sunan Gunung Djati Bandung</w:t>
      </w:r>
      <w:r w:rsidR="006079AD" w:rsidRPr="000D7217">
        <w:rPr>
          <w:rFonts w:ascii="Garamond" w:hAnsi="Garamond" w:cs="Times New Roman"/>
          <w:i/>
          <w:iCs/>
          <w:szCs w:val="24"/>
          <w:lang w:val="id-ID"/>
        </w:rPr>
        <w:t xml:space="preserve">, </w:t>
      </w:r>
      <w:r w:rsidR="006079AD" w:rsidRPr="000D7217">
        <w:rPr>
          <w:rFonts w:ascii="Garamond" w:hAnsi="Garamond" w:cs="Times New Roman"/>
          <w:i/>
          <w:iCs/>
          <w:szCs w:val="24"/>
        </w:rPr>
        <w:t>Indonesia</w:t>
      </w:r>
    </w:p>
    <w:p w14:paraId="2715706F" w14:textId="512EEEC9" w:rsidR="007B12AD" w:rsidRPr="000D7217" w:rsidRDefault="007B12AD" w:rsidP="00086FC1">
      <w:pPr>
        <w:pStyle w:val="ListParagraph"/>
        <w:spacing w:line="276" w:lineRule="auto"/>
        <w:ind w:left="0" w:firstLine="0"/>
        <w:jc w:val="left"/>
        <w:rPr>
          <w:rFonts w:ascii="Garamond" w:hAnsi="Garamond" w:cs="Times New Roman"/>
          <w:i/>
          <w:iCs/>
          <w:szCs w:val="24"/>
          <w:lang w:val="en-AU"/>
        </w:rPr>
      </w:pPr>
      <w:r w:rsidRPr="000D7217">
        <w:rPr>
          <w:rFonts w:ascii="Garamond" w:hAnsi="Garamond" w:cs="Times New Roman"/>
          <w:i/>
          <w:iCs/>
          <w:szCs w:val="24"/>
          <w:vertAlign w:val="superscript"/>
          <w:lang w:val="en-AU"/>
        </w:rPr>
        <w:t xml:space="preserve">3 </w:t>
      </w:r>
      <w:r w:rsidR="006079AD" w:rsidRPr="000D7217">
        <w:rPr>
          <w:rFonts w:ascii="Garamond" w:hAnsi="Garamond" w:cs="Times New Roman"/>
          <w:i/>
          <w:iCs/>
          <w:szCs w:val="24"/>
          <w:lang w:val="en-AU"/>
        </w:rPr>
        <w:t>Universitas Islam Negeri Sunan Gunung Djati Bandung</w:t>
      </w:r>
      <w:r w:rsidR="006079AD" w:rsidRPr="000D7217">
        <w:rPr>
          <w:rFonts w:ascii="Garamond" w:hAnsi="Garamond" w:cs="Times New Roman"/>
          <w:i/>
          <w:iCs/>
          <w:szCs w:val="24"/>
          <w:lang w:val="id-ID"/>
        </w:rPr>
        <w:t xml:space="preserve">, </w:t>
      </w:r>
      <w:r w:rsidR="006079AD" w:rsidRPr="000D7217">
        <w:rPr>
          <w:rFonts w:ascii="Garamond" w:hAnsi="Garamond" w:cs="Times New Roman"/>
          <w:i/>
          <w:iCs/>
          <w:szCs w:val="24"/>
        </w:rPr>
        <w:t>Indonesia</w:t>
      </w:r>
    </w:p>
    <w:p w14:paraId="3005A5B3" w14:textId="77777777" w:rsidR="009A4B02" w:rsidRPr="000D7217" w:rsidRDefault="009A4B02" w:rsidP="00086FC1">
      <w:pPr>
        <w:pStyle w:val="ListParagraph"/>
        <w:spacing w:line="276" w:lineRule="auto"/>
        <w:ind w:left="0" w:firstLine="0"/>
        <w:jc w:val="left"/>
        <w:rPr>
          <w:rFonts w:ascii="Garamond" w:hAnsi="Garamond" w:cs="Times New Roman"/>
          <w:i/>
          <w:iCs/>
          <w:szCs w:val="24"/>
          <w:lang w:val="en-AU"/>
        </w:rPr>
      </w:pPr>
    </w:p>
    <w:p w14:paraId="68995A39" w14:textId="06EA927D" w:rsidR="00D8040B" w:rsidRPr="000D7217" w:rsidRDefault="00D8040B" w:rsidP="00086FC1">
      <w:pPr>
        <w:pStyle w:val="JW2authorcorrespondence"/>
        <w:ind w:left="142" w:hanging="142"/>
        <w:jc w:val="both"/>
        <w:rPr>
          <w:rFonts w:ascii="Garamond" w:hAnsi="Garamond"/>
          <w:sz w:val="24"/>
          <w:szCs w:val="24"/>
        </w:rPr>
      </w:pPr>
      <w:r w:rsidRPr="000D7217">
        <w:rPr>
          <w:rFonts w:ascii="Garamond" w:hAnsi="Garamond"/>
          <w:b/>
          <w:sz w:val="24"/>
          <w:szCs w:val="24"/>
        </w:rPr>
        <w:t>*</w:t>
      </w:r>
      <w:r w:rsidRPr="000D7217">
        <w:rPr>
          <w:rFonts w:ascii="Garamond" w:hAnsi="Garamond"/>
          <w:sz w:val="24"/>
          <w:szCs w:val="24"/>
        </w:rPr>
        <w:tab/>
        <w:t xml:space="preserve">Correspondence: </w:t>
      </w:r>
      <w:hyperlink r:id="rId8" w:history="1">
        <w:r w:rsidR="006079AD" w:rsidRPr="000D7217">
          <w:rPr>
            <w:rStyle w:val="Hyperlink"/>
            <w:rFonts w:ascii="Garamond" w:hAnsi="Garamond"/>
            <w:sz w:val="24"/>
            <w:szCs w:val="24"/>
          </w:rPr>
          <w:t>azizsholeh@uinsgd.ac.id</w:t>
        </w:r>
      </w:hyperlink>
      <w:r w:rsidR="006079AD" w:rsidRPr="000D7217">
        <w:rPr>
          <w:rFonts w:ascii="Garamond" w:hAnsi="Garamond"/>
          <w:sz w:val="24"/>
          <w:szCs w:val="24"/>
        </w:rPr>
        <w:t xml:space="preserve"> </w:t>
      </w:r>
    </w:p>
    <w:p w14:paraId="5E2718F1" w14:textId="77777777" w:rsidR="00D8040B" w:rsidRDefault="00D8040B" w:rsidP="00D8040B">
      <w:pPr>
        <w:pStyle w:val="JW14history"/>
        <w:spacing w:before="0"/>
        <w:ind w:left="0"/>
        <w:rPr>
          <w:rFonts w:ascii="Garamond" w:hAnsi="Garamond"/>
          <w:sz w:val="22"/>
          <w:szCs w:val="22"/>
        </w:rPr>
      </w:pPr>
    </w:p>
    <w:p w14:paraId="43EAF6CD" w14:textId="77777777" w:rsidR="006620A2" w:rsidRPr="002D2906" w:rsidRDefault="006620A2" w:rsidP="00A45E29">
      <w:pPr>
        <w:pStyle w:val="ListParagraph"/>
        <w:tabs>
          <w:tab w:val="center" w:pos="4025"/>
          <w:tab w:val="left" w:pos="5966"/>
        </w:tabs>
        <w:spacing w:before="120" w:line="240" w:lineRule="auto"/>
        <w:ind w:left="0" w:firstLine="0"/>
        <w:contextualSpacing w:val="0"/>
        <w:jc w:val="center"/>
        <w:rPr>
          <w:rFonts w:ascii="Garamond" w:hAnsi="Garamond" w:cs="Times New Roman"/>
          <w:b/>
          <w:bCs/>
          <w:i/>
          <w:iCs/>
          <w:color w:val="FF0000"/>
          <w:lang w:val="en-AU"/>
        </w:rPr>
      </w:pPr>
    </w:p>
    <w:p w14:paraId="280B019F" w14:textId="77777777" w:rsidR="004434C4" w:rsidRPr="006079AD" w:rsidRDefault="00305ADC" w:rsidP="00F543B4">
      <w:pPr>
        <w:pStyle w:val="ListParagraph"/>
        <w:tabs>
          <w:tab w:val="center" w:pos="4025"/>
          <w:tab w:val="left" w:pos="5966"/>
        </w:tabs>
        <w:spacing w:after="120" w:line="240" w:lineRule="auto"/>
        <w:ind w:left="0" w:firstLine="0"/>
        <w:contextualSpacing w:val="0"/>
        <w:jc w:val="left"/>
        <w:rPr>
          <w:rFonts w:ascii="Garamond" w:hAnsi="Garamond" w:cs="Times New Roman"/>
          <w:b/>
          <w:bCs/>
          <w:i/>
          <w:iCs/>
          <w:lang w:val="en-AU"/>
        </w:rPr>
      </w:pPr>
      <w:r w:rsidRPr="006079AD">
        <w:rPr>
          <w:rFonts w:ascii="Garamond" w:hAnsi="Garamond" w:cs="Times New Roman"/>
          <w:b/>
          <w:bCs/>
          <w:i/>
          <w:iCs/>
          <w:lang w:val="en-AU"/>
        </w:rPr>
        <w:t>Abstract</w:t>
      </w:r>
    </w:p>
    <w:p w14:paraId="1D548F05" w14:textId="154327DB" w:rsidR="001A52C1" w:rsidRPr="006079AD" w:rsidRDefault="00B95F64" w:rsidP="006079AD">
      <w:pPr>
        <w:pStyle w:val="ListParagraph"/>
        <w:spacing w:line="240" w:lineRule="auto"/>
        <w:ind w:left="0"/>
        <w:rPr>
          <w:rFonts w:ascii="Garamond" w:hAnsi="Garamond" w:cs="Times New Roman"/>
          <w:i/>
          <w:iCs/>
          <w:noProof/>
          <w:color w:val="FF0000"/>
          <w:szCs w:val="24"/>
          <w:lang w:val="id-ID"/>
        </w:rPr>
      </w:pPr>
      <w:r w:rsidRPr="006079AD">
        <w:rPr>
          <w:i/>
          <w:iCs/>
          <w:szCs w:val="24"/>
          <w:lang w:val="en"/>
        </w:rPr>
        <w:t>The existence of dowry is constantly changing following social, cultural, and economic conditions. Theuse of memorization of the Qur'an as part of dowry can carry a deeper meaning within the framework of Maqashid Sharia. So</w:t>
      </w:r>
      <w:r w:rsidRPr="006079AD">
        <w:rPr>
          <w:i/>
          <w:iCs/>
          <w:lang w:val="en"/>
        </w:rPr>
        <w:t xml:space="preserve"> the </w:t>
      </w:r>
      <w:r w:rsidRPr="006079AD">
        <w:rPr>
          <w:i/>
          <w:iCs/>
          <w:szCs w:val="24"/>
          <w:lang w:val="en"/>
        </w:rPr>
        <w:t>conception of dowry by using the memorization of the Qur'an in Maqashid al-Sharia</w:t>
      </w:r>
      <w:r w:rsidR="001A52C1" w:rsidRPr="006079AD">
        <w:rPr>
          <w:rFonts w:ascii="Garamond" w:eastAsia="Times New Roman" w:hAnsi="Garamond" w:cs="Courier New"/>
          <w:i/>
          <w:iCs/>
          <w:color w:val="202124"/>
          <w:szCs w:val="24"/>
          <w:lang w:val="en" w:eastAsia="en-ID"/>
        </w:rPr>
        <w:t>. The method used in this research is qualitative and the data collection technique uses a library</w:t>
      </w:r>
      <w:r w:rsidR="0025082F" w:rsidRPr="006079AD">
        <w:rPr>
          <w:rFonts w:ascii="Garamond" w:eastAsia="Times New Roman" w:hAnsi="Garamond" w:cs="Courier New"/>
          <w:i/>
          <w:iCs/>
          <w:color w:val="202124"/>
          <w:szCs w:val="24"/>
          <w:lang w:val="en" w:eastAsia="en-ID"/>
        </w:rPr>
        <w:t xml:space="preserve"> </w:t>
      </w:r>
      <w:r w:rsidR="001A52C1" w:rsidRPr="006079AD">
        <w:rPr>
          <w:rFonts w:ascii="Garamond" w:eastAsia="Times New Roman" w:hAnsi="Garamond" w:cs="Courier New"/>
          <w:i/>
          <w:iCs/>
          <w:color w:val="202124"/>
          <w:szCs w:val="24"/>
          <w:lang w:val="en" w:eastAsia="en-ID"/>
        </w:rPr>
        <w:t>research. Meanwhile, qualitative data analysis techniques use data reduction, data presentation, and drawing conclusions or verification. The results of the study show that in Islamic law, dowry refers to gifts given by the man to the woman as part of the marriage process, so that it is one of the important elements in marriage in Islam and has a deeper meaning than just material values. Mahar can have several types, depending on the form, value, or characteristics of the gift. As for memorizing verses of the Qur'an as a marriage dowry in the concept of Maqashid al-Syariah, it can be seen from its purpose, namely Hifz al-Din, Hifz al-Nafs, Hifz al-Aql, Hifz al-Nasl, and Hifz al-Mal. Meanwhile, the implications of using memorized verses of the Qur'an as a marriage dowry in society can have various impacts depending on the cultural context, religion, and social views of the community.</w:t>
      </w:r>
    </w:p>
    <w:p w14:paraId="370FD86E" w14:textId="77777777" w:rsidR="007942DA" w:rsidRPr="001A52C1" w:rsidRDefault="007942DA" w:rsidP="007942DA">
      <w:pPr>
        <w:pStyle w:val="ListParagraph"/>
        <w:spacing w:line="240" w:lineRule="auto"/>
        <w:ind w:left="0" w:firstLine="0"/>
        <w:rPr>
          <w:rFonts w:ascii="Garamond" w:hAnsi="Garamond" w:cs="Times New Roman"/>
          <w:noProof/>
          <w:color w:val="FF0000"/>
          <w:sz w:val="22"/>
        </w:rPr>
      </w:pPr>
    </w:p>
    <w:p w14:paraId="508D8674" w14:textId="77777777" w:rsidR="00BC0563" w:rsidRPr="006079AD" w:rsidRDefault="004434C4" w:rsidP="00BC0563">
      <w:pPr>
        <w:ind w:firstLine="0"/>
        <w:rPr>
          <w:rFonts w:ascii="Garamond" w:hAnsi="Garamond" w:cs="Segoe UI"/>
          <w:i/>
          <w:iCs/>
          <w:sz w:val="24"/>
          <w:szCs w:val="24"/>
          <w:lang w:val="en-ID"/>
        </w:rPr>
      </w:pPr>
      <w:r w:rsidRPr="006079AD">
        <w:rPr>
          <w:rFonts w:ascii="Garamond" w:hAnsi="Garamond" w:cs="Times New Roman"/>
          <w:b/>
          <w:bCs/>
          <w:i/>
          <w:iCs/>
          <w:noProof/>
          <w:szCs w:val="24"/>
          <w:lang w:val="id-ID"/>
        </w:rPr>
        <w:t>Keyword</w:t>
      </w:r>
      <w:r w:rsidR="00A45E29" w:rsidRPr="006079AD">
        <w:rPr>
          <w:rFonts w:ascii="Garamond" w:hAnsi="Garamond" w:cs="Times New Roman"/>
          <w:b/>
          <w:bCs/>
          <w:i/>
          <w:iCs/>
          <w:noProof/>
          <w:szCs w:val="24"/>
          <w:lang w:val="en-AU"/>
        </w:rPr>
        <w:t>s</w:t>
      </w:r>
      <w:r w:rsidRPr="006079AD">
        <w:rPr>
          <w:rFonts w:ascii="Garamond" w:hAnsi="Garamond" w:cs="Times New Roman"/>
          <w:b/>
          <w:bCs/>
          <w:i/>
          <w:iCs/>
          <w:noProof/>
          <w:szCs w:val="24"/>
          <w:lang w:val="id-ID"/>
        </w:rPr>
        <w:t xml:space="preserve"> : </w:t>
      </w:r>
      <w:r w:rsidR="00BC0563" w:rsidRPr="006079AD">
        <w:rPr>
          <w:rFonts w:ascii="Garamond" w:hAnsi="Garamond"/>
          <w:i/>
          <w:iCs/>
          <w:sz w:val="24"/>
          <w:szCs w:val="24"/>
        </w:rPr>
        <w:t>Dowry; Marriage; Maqashid.</w:t>
      </w:r>
    </w:p>
    <w:p w14:paraId="6515063F" w14:textId="77777777" w:rsidR="007942DA" w:rsidRPr="002D2906" w:rsidRDefault="007942DA" w:rsidP="00BC0563">
      <w:pPr>
        <w:pStyle w:val="ListParagraph"/>
        <w:spacing w:line="240" w:lineRule="auto"/>
        <w:ind w:left="0" w:firstLine="0"/>
        <w:contextualSpacing w:val="0"/>
        <w:rPr>
          <w:rFonts w:ascii="Garamond" w:hAnsi="Garamond" w:cs="Times New Roman"/>
          <w:b/>
          <w:bCs/>
          <w:noProof/>
          <w:color w:val="FF0000"/>
          <w:lang w:val="en-AU"/>
        </w:rPr>
      </w:pPr>
    </w:p>
    <w:p w14:paraId="729D8E9A" w14:textId="1F4FA29C" w:rsidR="004434C4" w:rsidRPr="00BC0563" w:rsidRDefault="00305ADC" w:rsidP="001D06F7">
      <w:pPr>
        <w:pStyle w:val="ListParagraph"/>
        <w:tabs>
          <w:tab w:val="center" w:pos="4025"/>
          <w:tab w:val="left" w:pos="5966"/>
        </w:tabs>
        <w:spacing w:after="120" w:line="240" w:lineRule="auto"/>
        <w:ind w:left="0" w:firstLine="0"/>
        <w:contextualSpacing w:val="0"/>
        <w:jc w:val="left"/>
        <w:rPr>
          <w:rFonts w:ascii="Garamond" w:hAnsi="Garamond" w:cs="Times New Roman"/>
          <w:b/>
          <w:bCs/>
          <w:noProof/>
          <w:lang w:val="en-AU"/>
        </w:rPr>
      </w:pPr>
      <w:r w:rsidRPr="00BC0563">
        <w:rPr>
          <w:rFonts w:ascii="Garamond" w:hAnsi="Garamond" w:cs="Times New Roman"/>
          <w:b/>
          <w:bCs/>
          <w:noProof/>
          <w:lang w:val="en-AU"/>
        </w:rPr>
        <w:t>A</w:t>
      </w:r>
      <w:r w:rsidR="00BC0563">
        <w:rPr>
          <w:rFonts w:ascii="Garamond" w:hAnsi="Garamond" w:cs="Times New Roman"/>
          <w:b/>
          <w:bCs/>
          <w:noProof/>
          <w:lang w:val="en-AU"/>
        </w:rPr>
        <w:t>b</w:t>
      </w:r>
      <w:r w:rsidRPr="00BC0563">
        <w:rPr>
          <w:rFonts w:ascii="Garamond" w:hAnsi="Garamond" w:cs="Times New Roman"/>
          <w:b/>
          <w:bCs/>
          <w:noProof/>
          <w:lang w:val="en-AU"/>
        </w:rPr>
        <w:t>strak</w:t>
      </w:r>
    </w:p>
    <w:p w14:paraId="3F31443B" w14:textId="34E5AA19" w:rsidR="000F34C2" w:rsidRDefault="0014690C" w:rsidP="006079AD">
      <w:pPr>
        <w:rPr>
          <w:rFonts w:ascii="Garamond" w:hAnsi="Garamond" w:cs="Segoe UI"/>
          <w:sz w:val="24"/>
          <w:szCs w:val="24"/>
        </w:rPr>
      </w:pPr>
      <w:r w:rsidRPr="006C24D7">
        <w:rPr>
          <w:rFonts w:ascii="Garamond" w:hAnsi="Garamond" w:cs="Segoe UI"/>
          <w:sz w:val="24"/>
          <w:szCs w:val="24"/>
        </w:rPr>
        <w:t>Keberadaan mahar senantiasa mengalami perubahan mengikuti kondisi</w:t>
      </w:r>
      <w:r w:rsidRPr="006C24D7">
        <w:rPr>
          <w:rFonts w:ascii="Garamond" w:hAnsi="Garamond" w:cs="Segoe UI"/>
          <w:sz w:val="24"/>
          <w:szCs w:val="24"/>
          <w:shd w:val="clear" w:color="auto" w:fill="F7F7F8"/>
        </w:rPr>
        <w:t xml:space="preserve"> </w:t>
      </w:r>
      <w:r w:rsidRPr="006C24D7">
        <w:rPr>
          <w:rFonts w:ascii="Garamond" w:hAnsi="Garamond" w:cs="Segoe UI"/>
          <w:sz w:val="24"/>
          <w:szCs w:val="24"/>
        </w:rPr>
        <w:t>sosial, budaya, dan ekonomi</w:t>
      </w:r>
      <w:r>
        <w:rPr>
          <w:rFonts w:ascii="Garamond" w:hAnsi="Garamond"/>
          <w:sz w:val="24"/>
          <w:szCs w:val="24"/>
        </w:rPr>
        <w:t>. P</w:t>
      </w:r>
      <w:r w:rsidRPr="00C03C72">
        <w:rPr>
          <w:rFonts w:ascii="Garamond" w:hAnsi="Garamond" w:cs="Segoe UI"/>
          <w:sz w:val="24"/>
          <w:szCs w:val="24"/>
        </w:rPr>
        <w:t>enggunaan hafalan al-Qur'an sebagai bagian dari mahar dapat mengandung makna yang lebih mendalam dalam kerangka Maqashid Syariah</w:t>
      </w:r>
      <w:r>
        <w:rPr>
          <w:rFonts w:ascii="Garamond" w:hAnsi="Garamond" w:cs="Segoe UI"/>
          <w:sz w:val="24"/>
          <w:szCs w:val="24"/>
        </w:rPr>
        <w:t>. Maka</w:t>
      </w:r>
      <w:r>
        <w:rPr>
          <w:rFonts w:ascii="Garamond" w:hAnsi="Garamond"/>
          <w:sz w:val="24"/>
          <w:szCs w:val="24"/>
        </w:rPr>
        <w:t xml:space="preserve"> k</w:t>
      </w:r>
      <w:r w:rsidR="000F34C2" w:rsidRPr="007A4BB9">
        <w:rPr>
          <w:rFonts w:ascii="Garamond" w:hAnsi="Garamond"/>
          <w:sz w:val="24"/>
          <w:szCs w:val="24"/>
        </w:rPr>
        <w:t xml:space="preserve">onsep mahar </w:t>
      </w:r>
      <w:r>
        <w:rPr>
          <w:rFonts w:ascii="Garamond" w:hAnsi="Garamond"/>
          <w:sz w:val="24"/>
          <w:szCs w:val="24"/>
        </w:rPr>
        <w:t xml:space="preserve">dengan </w:t>
      </w:r>
      <w:r w:rsidR="000F34C2" w:rsidRPr="007A4BB9">
        <w:rPr>
          <w:rFonts w:ascii="Garamond" w:hAnsi="Garamond"/>
          <w:sz w:val="24"/>
          <w:szCs w:val="24"/>
        </w:rPr>
        <w:t xml:space="preserve">menggunakan hafalan al-Qur’an dalam </w:t>
      </w:r>
      <w:r w:rsidR="000F34C2" w:rsidRPr="00BC0563">
        <w:rPr>
          <w:rFonts w:ascii="Garamond" w:hAnsi="Garamond"/>
          <w:i/>
          <w:iCs/>
          <w:sz w:val="24"/>
          <w:szCs w:val="24"/>
        </w:rPr>
        <w:t>Maqashid al-Syariah</w:t>
      </w:r>
      <w:r w:rsidR="000F34C2" w:rsidRPr="007A4BB9">
        <w:rPr>
          <w:rFonts w:ascii="Garamond" w:hAnsi="Garamond"/>
          <w:sz w:val="24"/>
          <w:szCs w:val="24"/>
        </w:rPr>
        <w:t xml:space="preserve">. Metode yang digunakan dalam penelitian ini adalah kualitatif dan teknik pengumpulan data menggunakan </w:t>
      </w:r>
      <w:r w:rsidR="000F34C2" w:rsidRPr="007A4BB9">
        <w:rPr>
          <w:rFonts w:ascii="Garamond" w:hAnsi="Garamond"/>
          <w:i/>
          <w:iCs/>
          <w:sz w:val="24"/>
          <w:szCs w:val="24"/>
        </w:rPr>
        <w:t>library reseach</w:t>
      </w:r>
      <w:r w:rsidR="000F34C2" w:rsidRPr="007A4BB9">
        <w:rPr>
          <w:rFonts w:ascii="Garamond" w:hAnsi="Garamond"/>
          <w:sz w:val="24"/>
          <w:szCs w:val="24"/>
        </w:rPr>
        <w:t xml:space="preserve">. Sementara itu, teknik analisis data kualitatif menggunakan reduksi data, penyajian data, dan </w:t>
      </w:r>
      <w:r w:rsidR="000F34C2" w:rsidRPr="007A4BB9">
        <w:rPr>
          <w:rFonts w:ascii="Garamond" w:hAnsi="Garamond"/>
          <w:sz w:val="24"/>
          <w:szCs w:val="24"/>
        </w:rPr>
        <w:lastRenderedPageBreak/>
        <w:t xml:space="preserve">menarik kesimpulan atau verifikasi. Hasil penelitian menunjukan bahwa </w:t>
      </w:r>
      <w:r w:rsidR="000F34C2" w:rsidRPr="007A4BB9">
        <w:rPr>
          <w:rFonts w:ascii="Garamond" w:hAnsi="Garamond" w:cstheme="majorBidi"/>
          <w:sz w:val="24"/>
          <w:szCs w:val="24"/>
        </w:rPr>
        <w:t>dalam hukum Islam, mahar merujuk pada pemberian yang diberikan oleh pihak laki-laki kepada pihak perempuan sebagai bagian dari proses pernikahan, sehingga merupakan salah satu elemen penting dalam pernikahan dalam agama Islam dan memiliki makna yang lebih dalam daripada sekadar nilai materi.</w:t>
      </w:r>
      <w:r w:rsidR="000F34C2" w:rsidRPr="007A4BB9">
        <w:rPr>
          <w:rFonts w:ascii="Garamond" w:hAnsi="Garamond" w:cs="Segoe UI"/>
          <w:sz w:val="24"/>
          <w:szCs w:val="24"/>
        </w:rPr>
        <w:t xml:space="preserve"> Mahar dapat memiliki beberapa jenis, tergantung pada bentuk, nilai, atau karakteristik pemberiannya. Adapun hafalan ayat al-Qur'an sebagai mahar perkawinan dalam konsep Maqashid al-Syariah dapat dilihat dari tujuannya yakni pada </w:t>
      </w:r>
      <w:r w:rsidR="000F34C2" w:rsidRPr="000F34C2">
        <w:rPr>
          <w:rFonts w:ascii="Garamond" w:hAnsi="Garamond" w:cs="Segoe UI"/>
          <w:i/>
          <w:iCs/>
          <w:sz w:val="24"/>
          <w:szCs w:val="24"/>
        </w:rPr>
        <w:t>Hifz al-Din, Hifz al-Nafs, Hifz al-Aql, Hifz al-Nasl,</w:t>
      </w:r>
      <w:r w:rsidR="000F34C2" w:rsidRPr="000F34C2">
        <w:rPr>
          <w:rFonts w:ascii="Garamond" w:hAnsi="Garamond" w:cs="Segoe UI"/>
          <w:sz w:val="24"/>
          <w:szCs w:val="24"/>
        </w:rPr>
        <w:t xml:space="preserve"> dan</w:t>
      </w:r>
      <w:r w:rsidR="000F34C2" w:rsidRPr="000F34C2">
        <w:rPr>
          <w:rFonts w:ascii="Garamond" w:hAnsi="Garamond" w:cs="Segoe UI"/>
          <w:i/>
          <w:iCs/>
          <w:sz w:val="24"/>
          <w:szCs w:val="24"/>
        </w:rPr>
        <w:t xml:space="preserve"> Hifz al-Mal.</w:t>
      </w:r>
      <w:r w:rsidR="000F34C2" w:rsidRPr="007A4BB9">
        <w:rPr>
          <w:rFonts w:ascii="Garamond" w:hAnsi="Garamond" w:cs="Segoe UI"/>
          <w:sz w:val="24"/>
          <w:szCs w:val="24"/>
        </w:rPr>
        <w:t xml:space="preserve"> Sementara itu, implikasi dari menggunakan hafalan ayat al-Qur'an sebagai mahar perkawinan dalam masyarakat dapat memiliki dampak yang beragam tergantung pada konteks budaya, agama, dan pandangan sosial masyarakat.</w:t>
      </w:r>
    </w:p>
    <w:p w14:paraId="12B07124" w14:textId="77777777" w:rsidR="007942DA" w:rsidRPr="003B3BCA" w:rsidRDefault="007942DA" w:rsidP="007942DA">
      <w:pPr>
        <w:pStyle w:val="ListParagraph"/>
        <w:spacing w:before="120" w:after="120" w:line="240" w:lineRule="auto"/>
        <w:ind w:left="0" w:firstLine="0"/>
        <w:rPr>
          <w:rFonts w:ascii="Garamond" w:hAnsi="Garamond"/>
          <w:color w:val="C00000"/>
          <w:sz w:val="22"/>
          <w:lang w:val="id-ID"/>
        </w:rPr>
      </w:pPr>
    </w:p>
    <w:p w14:paraId="0176424A" w14:textId="66D6AD23" w:rsidR="00491400" w:rsidRDefault="00AE5EEA" w:rsidP="001A52C1">
      <w:pPr>
        <w:pStyle w:val="ListParagraph"/>
        <w:spacing w:before="120" w:after="120" w:line="240" w:lineRule="auto"/>
        <w:ind w:left="0" w:firstLine="0"/>
        <w:rPr>
          <w:rFonts w:ascii="Garamond" w:hAnsi="Garamond"/>
          <w:szCs w:val="24"/>
        </w:rPr>
      </w:pPr>
      <w:r w:rsidRPr="000F34C2">
        <w:rPr>
          <w:rFonts w:ascii="Garamond" w:hAnsi="Garamond"/>
          <w:b/>
          <w:bCs/>
          <w:szCs w:val="24"/>
          <w:lang w:val="id-ID"/>
        </w:rPr>
        <w:t xml:space="preserve">Kata Kunci : </w:t>
      </w:r>
      <w:r w:rsidR="000F34C2" w:rsidRPr="000F34C2">
        <w:rPr>
          <w:rFonts w:ascii="Garamond" w:hAnsi="Garamond"/>
          <w:szCs w:val="24"/>
        </w:rPr>
        <w:t>Mahar; Perkawinan; Maqashid.</w:t>
      </w:r>
    </w:p>
    <w:p w14:paraId="72F57EF1" w14:textId="77777777" w:rsidR="001A52C1" w:rsidRPr="001A52C1" w:rsidRDefault="001A52C1" w:rsidP="001A52C1">
      <w:pPr>
        <w:pStyle w:val="ListParagraph"/>
        <w:spacing w:before="120" w:after="120" w:line="240" w:lineRule="auto"/>
        <w:ind w:left="0" w:firstLine="0"/>
        <w:rPr>
          <w:rFonts w:ascii="Garamond" w:hAnsi="Garamond"/>
          <w:szCs w:val="24"/>
        </w:rPr>
      </w:pPr>
    </w:p>
    <w:p w14:paraId="5A852A79" w14:textId="636BCC31" w:rsidR="00C03C72" w:rsidRPr="002D2906" w:rsidRDefault="007942DA" w:rsidP="002D2906">
      <w:pPr>
        <w:pStyle w:val="BodyText2"/>
        <w:tabs>
          <w:tab w:val="left" w:pos="567"/>
        </w:tabs>
        <w:spacing w:line="276" w:lineRule="auto"/>
        <w:ind w:firstLine="0"/>
        <w:rPr>
          <w:rFonts w:ascii="Book Antiqua" w:hAnsi="Book Antiqua"/>
          <w:b/>
          <w:bCs/>
        </w:rPr>
      </w:pPr>
      <w:r w:rsidRPr="00FC3FFA">
        <w:rPr>
          <w:rFonts w:ascii="Book Antiqua" w:hAnsi="Book Antiqua"/>
          <w:b/>
          <w:bCs/>
        </w:rPr>
        <w:t>Pendahuluan</w:t>
      </w:r>
    </w:p>
    <w:p w14:paraId="409E9A69" w14:textId="7E18D583" w:rsidR="00C03C72" w:rsidRPr="00C03C72" w:rsidRDefault="005B3342" w:rsidP="00887A38">
      <w:pPr>
        <w:ind w:firstLine="567"/>
        <w:rPr>
          <w:rFonts w:ascii="Garamond" w:hAnsi="Garamond" w:cs="Segoe UI"/>
          <w:sz w:val="24"/>
          <w:szCs w:val="24"/>
        </w:rPr>
      </w:pPr>
      <w:bookmarkStart w:id="0" w:name="_Hlk142903875"/>
      <w:r>
        <w:rPr>
          <w:rFonts w:ascii="Garamond" w:hAnsi="Garamond" w:cs="Segoe UI"/>
          <w:sz w:val="24"/>
          <w:szCs w:val="24"/>
        </w:rPr>
        <w:t>Pada dasarnya, perkawinan merupakan suatu perbuatan hukum disamping perbuatan keagamaan.</w:t>
      </w:r>
      <w:r>
        <w:rPr>
          <w:rStyle w:val="FootnoteReference"/>
          <w:rFonts w:ascii="Garamond" w:hAnsi="Garamond"/>
          <w:sz w:val="24"/>
          <w:szCs w:val="24"/>
        </w:rPr>
        <w:footnoteReference w:id="1"/>
      </w:r>
      <w:r>
        <w:rPr>
          <w:rFonts w:ascii="Garamond" w:hAnsi="Garamond" w:cs="Segoe UI"/>
          <w:sz w:val="24"/>
          <w:szCs w:val="24"/>
        </w:rPr>
        <w:t xml:space="preserve"> </w:t>
      </w:r>
      <w:r w:rsidR="00C03C72" w:rsidRPr="00C03C72">
        <w:rPr>
          <w:rFonts w:ascii="Garamond" w:hAnsi="Garamond" w:cs="Segoe UI"/>
          <w:sz w:val="24"/>
          <w:szCs w:val="24"/>
        </w:rPr>
        <w:t xml:space="preserve">Perkawinan memiliki makna yang sangat mendalam dalam ajaran Islam dan dianggap sebagai salah satu cara untuk membentuk keluarga yang sakinah, mawaddah, dan warahmah. Dalam konteks ini, mahar menjadi bagian integral dari proses pernikahan, mewakili tanggung jawab dan komitmen seorang suami terhadap istri. </w:t>
      </w:r>
      <w:r w:rsidR="009636CC">
        <w:rPr>
          <w:rFonts w:ascii="Garamond" w:hAnsi="Garamond" w:cs="Segoe UI"/>
          <w:sz w:val="24"/>
          <w:szCs w:val="24"/>
        </w:rPr>
        <w:t>Sebagaimana ketentuan KHI, bahwa mahar wajib diberikan pihak laki-laki kepada pihak Perempuan dengan memperhitungkan asas kesederhanaan dan keringanan.</w:t>
      </w:r>
      <w:r w:rsidR="009636CC">
        <w:rPr>
          <w:rStyle w:val="FootnoteReference"/>
          <w:rFonts w:ascii="Garamond" w:hAnsi="Garamond"/>
          <w:sz w:val="24"/>
          <w:szCs w:val="24"/>
        </w:rPr>
        <w:footnoteReference w:id="2"/>
      </w:r>
      <w:r w:rsidR="006C24D7">
        <w:rPr>
          <w:rFonts w:ascii="Garamond" w:hAnsi="Garamond" w:cs="Segoe UI"/>
          <w:sz w:val="24"/>
          <w:szCs w:val="24"/>
        </w:rPr>
        <w:t xml:space="preserve"> </w:t>
      </w:r>
      <w:bookmarkEnd w:id="0"/>
      <w:r w:rsidR="00C03C72" w:rsidRPr="00C03C72">
        <w:rPr>
          <w:rFonts w:ascii="Garamond" w:hAnsi="Garamond" w:cs="Segoe UI"/>
          <w:sz w:val="24"/>
          <w:szCs w:val="24"/>
        </w:rPr>
        <w:t>Namun, dalam mengkaji fenomena mahar, penting untuk melihatnya melalui lensa yang lebih luas, yaitu melalui prinsip-prinsip Maqashid Syariah.</w:t>
      </w:r>
    </w:p>
    <w:p w14:paraId="3209EF15" w14:textId="77777777" w:rsidR="006C24D7" w:rsidRDefault="00C03C72" w:rsidP="006C24D7">
      <w:pPr>
        <w:ind w:firstLine="567"/>
        <w:rPr>
          <w:rFonts w:ascii="Garamond" w:hAnsi="Garamond" w:cs="Segoe UI"/>
          <w:sz w:val="24"/>
          <w:szCs w:val="24"/>
        </w:rPr>
      </w:pPr>
      <w:r w:rsidRPr="00C03C72">
        <w:rPr>
          <w:rFonts w:ascii="Garamond" w:hAnsi="Garamond" w:cs="Segoe UI"/>
          <w:sz w:val="24"/>
          <w:szCs w:val="24"/>
        </w:rPr>
        <w:t>Maqashid Syariah merujuk pada tujuan-tujuan utama atau maksud-maksud dari hukum-hukum Islam. Prinsip ini mengedepankan kesejahteraan, keadilan, dan kemaslahatan umat manusia. Dengan demikian, mengkaji mahar menggunakan hafalan al-Qur'an dalam perspektif Maqashid Syariah akan memberikan pandangan yang lebih komprehensif tentang bagaimana aspek pernikahan ini dapat mencerminkan nilai-nilai dan tujuan-tujuan Islam yang lebih mendalam.</w:t>
      </w:r>
    </w:p>
    <w:p w14:paraId="3090A18B" w14:textId="6CD50554" w:rsidR="0049312E" w:rsidRPr="006C24D7" w:rsidRDefault="006C24D7" w:rsidP="0049312E">
      <w:pPr>
        <w:ind w:firstLine="567"/>
        <w:rPr>
          <w:rFonts w:ascii="Garamond" w:hAnsi="Garamond" w:cs="Segoe UI"/>
          <w:sz w:val="24"/>
          <w:szCs w:val="24"/>
        </w:rPr>
      </w:pPr>
      <w:r w:rsidRPr="006C24D7">
        <w:rPr>
          <w:rFonts w:ascii="Garamond" w:hAnsi="Garamond" w:cs="Segoe UI"/>
          <w:sz w:val="24"/>
          <w:szCs w:val="24"/>
        </w:rPr>
        <w:t>Keberadaan mahar senantiasa mengalami perubahan mengikuti kondisi</w:t>
      </w:r>
      <w:r w:rsidRPr="006C24D7">
        <w:rPr>
          <w:rFonts w:ascii="Garamond" w:hAnsi="Garamond" w:cs="Segoe UI"/>
          <w:sz w:val="24"/>
          <w:szCs w:val="24"/>
          <w:shd w:val="clear" w:color="auto" w:fill="F7F7F8"/>
        </w:rPr>
        <w:t xml:space="preserve"> </w:t>
      </w:r>
      <w:r w:rsidRPr="006C24D7">
        <w:rPr>
          <w:rFonts w:ascii="Garamond" w:hAnsi="Garamond" w:cs="Segoe UI"/>
          <w:sz w:val="24"/>
          <w:szCs w:val="24"/>
        </w:rPr>
        <w:t>sosial, budaya, dan ekonomi. Konsep ini mirip dengan prinsip dalam hukum</w:t>
      </w:r>
      <w:r w:rsidRPr="006C24D7">
        <w:rPr>
          <w:rFonts w:ascii="Garamond" w:hAnsi="Garamond" w:cs="Segoe UI"/>
          <w:sz w:val="24"/>
          <w:szCs w:val="24"/>
          <w:shd w:val="clear" w:color="auto" w:fill="F7F7F8"/>
        </w:rPr>
        <w:t xml:space="preserve"> </w:t>
      </w:r>
      <w:r w:rsidRPr="006C24D7">
        <w:rPr>
          <w:rFonts w:ascii="Garamond" w:hAnsi="Garamond" w:cs="Segoe UI"/>
          <w:sz w:val="24"/>
          <w:szCs w:val="24"/>
        </w:rPr>
        <w:t>Islam, di mana hukum-hukum dapat berubah sejalan dengan perubahan</w:t>
      </w:r>
      <w:r w:rsidRPr="006C24D7">
        <w:rPr>
          <w:rFonts w:ascii="Garamond" w:hAnsi="Garamond" w:cs="Segoe UI"/>
          <w:sz w:val="24"/>
          <w:szCs w:val="24"/>
          <w:shd w:val="clear" w:color="auto" w:fill="F7F7F8"/>
        </w:rPr>
        <w:t xml:space="preserve"> </w:t>
      </w:r>
      <w:r w:rsidRPr="006C24D7">
        <w:rPr>
          <w:rFonts w:ascii="Garamond" w:hAnsi="Garamond" w:cs="Segoe UI"/>
          <w:sz w:val="24"/>
          <w:szCs w:val="24"/>
        </w:rPr>
        <w:t>waktu dan tempat. Oleh karena itu, mahar memiliki keberagaman sesuai</w:t>
      </w:r>
      <w:r w:rsidRPr="006C24D7">
        <w:rPr>
          <w:rFonts w:ascii="Garamond" w:hAnsi="Garamond" w:cs="Segoe UI"/>
          <w:sz w:val="24"/>
          <w:szCs w:val="24"/>
          <w:shd w:val="clear" w:color="auto" w:fill="F7F7F8"/>
        </w:rPr>
        <w:t xml:space="preserve"> </w:t>
      </w:r>
      <w:r w:rsidRPr="006C24D7">
        <w:rPr>
          <w:rFonts w:ascii="Garamond" w:hAnsi="Garamond" w:cs="Segoe UI"/>
          <w:sz w:val="24"/>
          <w:szCs w:val="24"/>
        </w:rPr>
        <w:t>dengan perkembangan zaman serta perubahan dalam aspek sosial dan</w:t>
      </w:r>
      <w:r w:rsidRPr="006C24D7">
        <w:rPr>
          <w:rFonts w:ascii="Garamond" w:hAnsi="Garamond" w:cs="Segoe UI"/>
          <w:sz w:val="24"/>
          <w:szCs w:val="24"/>
          <w:shd w:val="clear" w:color="auto" w:fill="F7F7F8"/>
        </w:rPr>
        <w:t xml:space="preserve"> </w:t>
      </w:r>
      <w:r w:rsidRPr="006C24D7">
        <w:rPr>
          <w:rFonts w:ascii="Garamond" w:hAnsi="Garamond" w:cs="Segoe UI"/>
          <w:sz w:val="24"/>
          <w:szCs w:val="24"/>
        </w:rPr>
        <w:t>budaya yang</w:t>
      </w:r>
      <w:r w:rsidRPr="006C24D7">
        <w:rPr>
          <w:rFonts w:ascii="Garamond" w:hAnsi="Garamond" w:cs="Segoe UI"/>
          <w:sz w:val="24"/>
          <w:szCs w:val="24"/>
          <w:shd w:val="clear" w:color="auto" w:fill="F7F7F8"/>
        </w:rPr>
        <w:t xml:space="preserve"> </w:t>
      </w:r>
      <w:r w:rsidRPr="006C24D7">
        <w:rPr>
          <w:rFonts w:ascii="Garamond" w:hAnsi="Garamond" w:cs="Segoe UI"/>
          <w:sz w:val="24"/>
          <w:szCs w:val="24"/>
        </w:rPr>
        <w:t>ada dalam masyarakat.</w:t>
      </w:r>
      <w:r w:rsidR="0049312E">
        <w:rPr>
          <w:rStyle w:val="FootnoteReference"/>
          <w:rFonts w:ascii="Garamond" w:hAnsi="Garamond"/>
          <w:sz w:val="24"/>
          <w:szCs w:val="24"/>
        </w:rPr>
        <w:footnoteReference w:id="3"/>
      </w:r>
    </w:p>
    <w:p w14:paraId="2E9C6E15" w14:textId="77777777" w:rsidR="006C24D7" w:rsidRPr="00C03C72" w:rsidRDefault="00C03C72" w:rsidP="006C24D7">
      <w:pPr>
        <w:ind w:firstLine="567"/>
        <w:rPr>
          <w:rFonts w:ascii="Garamond" w:hAnsi="Garamond" w:cs="Segoe UI"/>
          <w:sz w:val="24"/>
          <w:szCs w:val="24"/>
        </w:rPr>
      </w:pPr>
      <w:r w:rsidRPr="00C03C72">
        <w:rPr>
          <w:rFonts w:ascii="Garamond" w:hAnsi="Garamond" w:cs="Segoe UI"/>
          <w:sz w:val="24"/>
          <w:szCs w:val="24"/>
        </w:rPr>
        <w:t>Dalam kaitannya dengan mahar, penggunaan hafalan al-Qur'an sebagai bagian dari mahar dapat mengandung makna yang lebih mendalam dalam kerangka Maqashid Syariah. Pemberian hafalan al-Qur'an sebagai mahar bukan hanya sekadar simbol material atau nilai finansial semata, tetapi juga mewakili keinginan untuk memperkuat ikatan spiritual dan moral antara pasangan suami-istri.</w:t>
      </w:r>
      <w:r w:rsidR="006C24D7">
        <w:rPr>
          <w:rFonts w:ascii="Garamond" w:hAnsi="Garamond" w:cs="Segoe UI"/>
          <w:sz w:val="24"/>
          <w:szCs w:val="24"/>
        </w:rPr>
        <w:t xml:space="preserve"> </w:t>
      </w:r>
      <w:r w:rsidR="006C24D7" w:rsidRPr="00C03C72">
        <w:rPr>
          <w:rFonts w:ascii="Garamond" w:hAnsi="Garamond" w:cs="Segoe UI"/>
          <w:sz w:val="24"/>
          <w:szCs w:val="24"/>
        </w:rPr>
        <w:t>Hafalan al-Qur'an memiliki kedudukan yang istimewa dalam Islam, tidak hanya sebagai bentuk penghormatan terhadap kitab suci, tetapi juga sebagai sumber pedoman hidup dan inspirasi. Kemampuan menghafal al-Qur'an tidak hanya menunjukkan komitmen terhadap agama, tetapi juga dapat menghasilkan dampak positif dalam kehidupan individu dan masyarakat.</w:t>
      </w:r>
    </w:p>
    <w:p w14:paraId="34AA3787" w14:textId="384862DB" w:rsidR="001E385E" w:rsidRDefault="006C24D7" w:rsidP="006C24D7">
      <w:pPr>
        <w:ind w:firstLine="567"/>
        <w:rPr>
          <w:rFonts w:ascii="Garamond" w:hAnsi="Garamond" w:cs="Segoe UI"/>
          <w:sz w:val="24"/>
          <w:szCs w:val="24"/>
        </w:rPr>
      </w:pPr>
      <w:r>
        <w:rPr>
          <w:rFonts w:ascii="Garamond" w:hAnsi="Garamond"/>
          <w:sz w:val="24"/>
          <w:szCs w:val="24"/>
        </w:rPr>
        <w:t>S</w:t>
      </w:r>
      <w:r w:rsidR="001E385E">
        <w:rPr>
          <w:rFonts w:ascii="Garamond" w:hAnsi="Garamond"/>
          <w:sz w:val="24"/>
          <w:szCs w:val="24"/>
        </w:rPr>
        <w:t xml:space="preserve">ebagai pembanding, terdapat beberapa kajian terdahulu seperti </w:t>
      </w:r>
      <w:r w:rsidR="001E385E" w:rsidRPr="00534228">
        <w:rPr>
          <w:rFonts w:ascii="Garamond" w:hAnsi="Garamond"/>
          <w:sz w:val="24"/>
          <w:szCs w:val="24"/>
        </w:rPr>
        <w:t xml:space="preserve">penelitian yang ditulis oleh Hafid dengan judul </w:t>
      </w:r>
      <w:r w:rsidR="001E385E" w:rsidRPr="00843106">
        <w:rPr>
          <w:rFonts w:ascii="Garamond" w:hAnsi="Garamond"/>
          <w:i/>
          <w:iCs/>
          <w:sz w:val="24"/>
          <w:szCs w:val="24"/>
        </w:rPr>
        <w:t>Analisis Konsep Mahar Berupa Hafalan Ayat Al-Qur’an dalam Perspektif Madzahibul Arba’ah</w:t>
      </w:r>
      <w:r w:rsidR="001E385E">
        <w:rPr>
          <w:rFonts w:ascii="Garamond" w:hAnsi="Garamond"/>
          <w:sz w:val="24"/>
          <w:szCs w:val="24"/>
        </w:rPr>
        <w:t xml:space="preserve"> dalam Jurnal Sirajuddin Volume 1 Nomor 1 Desember Tahun 2021</w:t>
      </w:r>
      <w:r w:rsidR="001E385E" w:rsidRPr="00534228">
        <w:rPr>
          <w:rFonts w:ascii="Garamond" w:hAnsi="Garamond"/>
          <w:sz w:val="24"/>
          <w:szCs w:val="24"/>
        </w:rPr>
        <w:t xml:space="preserve">. Fokus utama penelitian lebih membahas </w:t>
      </w:r>
      <w:r w:rsidR="001E385E" w:rsidRPr="00534228">
        <w:rPr>
          <w:rFonts w:ascii="Garamond" w:hAnsi="Garamond" w:cs="Segoe UI"/>
          <w:sz w:val="24"/>
          <w:szCs w:val="24"/>
        </w:rPr>
        <w:t>konsep mahar pernikahan hafalan al-Qur’an menurut empat madhab dalam Islam. Konsep ini</w:t>
      </w:r>
      <w:r w:rsidR="001E385E" w:rsidRPr="00534228">
        <w:rPr>
          <w:rFonts w:ascii="Garamond" w:hAnsi="Garamond" w:cs="Segoe UI"/>
          <w:sz w:val="24"/>
          <w:szCs w:val="24"/>
          <w:shd w:val="clear" w:color="auto" w:fill="F7F7F8"/>
        </w:rPr>
        <w:t xml:space="preserve"> </w:t>
      </w:r>
      <w:r w:rsidR="001E385E" w:rsidRPr="00534228">
        <w:rPr>
          <w:rFonts w:ascii="Garamond" w:hAnsi="Garamond" w:cs="Segoe UI"/>
          <w:sz w:val="24"/>
          <w:szCs w:val="24"/>
        </w:rPr>
        <w:t>dianggap sebagai prinsip mendasar yang sangat signifikan dalam interaksi sosial dan dalam</w:t>
      </w:r>
      <w:r w:rsidR="001E385E" w:rsidRPr="00534228">
        <w:rPr>
          <w:rFonts w:ascii="Garamond" w:hAnsi="Garamond" w:cs="Segoe UI"/>
          <w:sz w:val="24"/>
          <w:szCs w:val="24"/>
          <w:shd w:val="clear" w:color="auto" w:fill="F7F7F8"/>
        </w:rPr>
        <w:t xml:space="preserve"> </w:t>
      </w:r>
      <w:r w:rsidR="001E385E" w:rsidRPr="00534228">
        <w:rPr>
          <w:rFonts w:ascii="Garamond" w:hAnsi="Garamond" w:cs="Segoe UI"/>
          <w:sz w:val="24"/>
          <w:szCs w:val="24"/>
        </w:rPr>
        <w:t>masyarakat yang harmonis.</w:t>
      </w:r>
      <w:r w:rsidR="005B3342">
        <w:rPr>
          <w:rStyle w:val="FootnoteReference"/>
          <w:rFonts w:ascii="Garamond" w:hAnsi="Garamond"/>
          <w:sz w:val="24"/>
          <w:szCs w:val="24"/>
        </w:rPr>
        <w:footnoteReference w:id="4"/>
      </w:r>
    </w:p>
    <w:p w14:paraId="0A8EC5EB" w14:textId="70800434" w:rsidR="001E385E" w:rsidRDefault="001E385E" w:rsidP="001E385E">
      <w:pPr>
        <w:ind w:firstLine="567"/>
        <w:rPr>
          <w:rFonts w:ascii="Garamond" w:hAnsi="Garamond" w:cs="Segoe UI"/>
          <w:sz w:val="24"/>
          <w:szCs w:val="24"/>
        </w:rPr>
      </w:pPr>
      <w:r>
        <w:rPr>
          <w:rFonts w:ascii="Garamond" w:hAnsi="Garamond" w:cs="Segoe UI"/>
          <w:sz w:val="24"/>
          <w:szCs w:val="24"/>
        </w:rPr>
        <w:t xml:space="preserve">Kemudian, ada juga penelitian yang ditulis oleh Ita Musarrofa dengan judul </w:t>
      </w:r>
      <w:r w:rsidRPr="00843106">
        <w:rPr>
          <w:rFonts w:ascii="Garamond" w:hAnsi="Garamond" w:cs="Segoe UI"/>
          <w:i/>
          <w:iCs/>
          <w:sz w:val="24"/>
          <w:szCs w:val="24"/>
        </w:rPr>
        <w:t>Tren Mahar di Era Digital (Tinjauan Sosiologi Hukum Islam Penggunaan Mahar Digital di Komunitas Dunia Cyber</w:t>
      </w:r>
      <w:r>
        <w:rPr>
          <w:rFonts w:ascii="Garamond" w:hAnsi="Garamond" w:cs="Segoe UI"/>
          <w:sz w:val="24"/>
          <w:szCs w:val="24"/>
        </w:rPr>
        <w:t>), Jurnal Hukum Islam Volume 19 Nomor 1 Tahun 2021. Fokus penelitian ini membahas alasan sosiologis yang melembagakan serta tenggapan dari segi normatif berdasarkan tren mahar di era digital.</w:t>
      </w:r>
      <w:r w:rsidR="00EC3A4F">
        <w:rPr>
          <w:rStyle w:val="FootnoteReference"/>
          <w:rFonts w:ascii="Garamond" w:hAnsi="Garamond"/>
          <w:sz w:val="24"/>
          <w:szCs w:val="24"/>
        </w:rPr>
        <w:footnoteReference w:id="5"/>
      </w:r>
    </w:p>
    <w:p w14:paraId="626218E2" w14:textId="69391543" w:rsidR="001E385E" w:rsidRPr="009930ED" w:rsidRDefault="001E385E" w:rsidP="001E385E">
      <w:pPr>
        <w:ind w:firstLine="567"/>
        <w:rPr>
          <w:rFonts w:ascii="Garamond" w:hAnsi="Garamond" w:cs="Segoe UI"/>
          <w:sz w:val="24"/>
          <w:szCs w:val="24"/>
        </w:rPr>
      </w:pPr>
      <w:r>
        <w:rPr>
          <w:rFonts w:ascii="Garamond" w:hAnsi="Garamond" w:cs="Segoe UI"/>
          <w:sz w:val="24"/>
          <w:szCs w:val="24"/>
        </w:rPr>
        <w:t xml:space="preserve">Selain itu, penelitian yang ditulis oleh Husen, Hamdani dan Ratri Candrasari dengan judul </w:t>
      </w:r>
      <w:r w:rsidRPr="00843106">
        <w:rPr>
          <w:rFonts w:ascii="Garamond" w:hAnsi="Garamond" w:cs="Segoe UI"/>
          <w:i/>
          <w:iCs/>
          <w:sz w:val="24"/>
          <w:szCs w:val="24"/>
        </w:rPr>
        <w:t>Tradisi dan Status Sosial dalam Penetapan Mahar Perkawinan di Gampong Mamplam Aceh Utar</w:t>
      </w:r>
      <w:r>
        <w:rPr>
          <w:rFonts w:ascii="Garamond" w:hAnsi="Garamond" w:cs="Segoe UI"/>
          <w:sz w:val="24"/>
          <w:szCs w:val="24"/>
        </w:rPr>
        <w:t xml:space="preserve">a dalam </w:t>
      </w:r>
      <w:r w:rsidR="00692970">
        <w:rPr>
          <w:rFonts w:ascii="Garamond" w:hAnsi="Garamond" w:cs="Segoe UI"/>
          <w:sz w:val="24"/>
          <w:szCs w:val="24"/>
        </w:rPr>
        <w:t>J</w:t>
      </w:r>
      <w:r>
        <w:rPr>
          <w:rFonts w:ascii="Garamond" w:hAnsi="Garamond" w:cs="Segoe UI"/>
          <w:sz w:val="24"/>
          <w:szCs w:val="24"/>
        </w:rPr>
        <w:t xml:space="preserve">urnal </w:t>
      </w:r>
      <w:r w:rsidRPr="009930ED">
        <w:rPr>
          <w:rFonts w:ascii="Garamond" w:hAnsi="Garamond" w:cs="Segoe UI"/>
          <w:sz w:val="24"/>
          <w:szCs w:val="24"/>
        </w:rPr>
        <w:t>Ilmu Sosial dan Ilmu Politik Malikushalaeh Volume 3 Nomor 1 Tahun 2022. Penelitian ini lebih fokus pada proses penetapan mahar dilakukan melalui serangkaian langkah</w:t>
      </w:r>
      <w:r w:rsidRPr="009930ED">
        <w:rPr>
          <w:rFonts w:ascii="Garamond" w:hAnsi="Garamond" w:cs="Segoe UI"/>
          <w:sz w:val="24"/>
          <w:szCs w:val="24"/>
          <w:shd w:val="clear" w:color="auto" w:fill="F7F7F8"/>
        </w:rPr>
        <w:t xml:space="preserve"> </w:t>
      </w:r>
      <w:r w:rsidRPr="009930ED">
        <w:rPr>
          <w:rFonts w:ascii="Garamond" w:hAnsi="Garamond" w:cs="Segoe UI"/>
          <w:sz w:val="24"/>
          <w:szCs w:val="24"/>
        </w:rPr>
        <w:t>pelamaran yang difasilitasi oleh seorang perantara yang disebut sebagai "seulangke". Peran</w:t>
      </w:r>
      <w:r w:rsidRPr="009930ED">
        <w:rPr>
          <w:rFonts w:ascii="Garamond" w:hAnsi="Garamond" w:cs="Segoe UI"/>
          <w:sz w:val="24"/>
          <w:szCs w:val="24"/>
          <w:shd w:val="clear" w:color="auto" w:fill="F7F7F8"/>
        </w:rPr>
        <w:t xml:space="preserve"> </w:t>
      </w:r>
      <w:r w:rsidRPr="009930ED">
        <w:rPr>
          <w:rFonts w:ascii="Garamond" w:hAnsi="Garamond" w:cs="Segoe UI"/>
          <w:sz w:val="24"/>
          <w:szCs w:val="24"/>
        </w:rPr>
        <w:t>seulangke ini adalah untuk menghubungkan pihak calon suami dan calon istri. Jika lamaran</w:t>
      </w:r>
      <w:r w:rsidRPr="009930ED">
        <w:rPr>
          <w:rFonts w:ascii="Garamond" w:hAnsi="Garamond" w:cs="Segoe UI"/>
          <w:sz w:val="24"/>
          <w:szCs w:val="24"/>
          <w:shd w:val="clear" w:color="auto" w:fill="F7F7F8"/>
        </w:rPr>
        <w:t xml:space="preserve"> </w:t>
      </w:r>
      <w:r w:rsidRPr="009930ED">
        <w:rPr>
          <w:rFonts w:ascii="Garamond" w:hAnsi="Garamond" w:cs="Segoe UI"/>
          <w:sz w:val="24"/>
          <w:szCs w:val="24"/>
        </w:rPr>
        <w:t>dari seorang pria diterima oleh wanita dan keluarganya, tugas seulangke adalah untuk mengoordinasikan langkah-langkah berikutnya, termasuk pembayaran mahar yang</w:t>
      </w:r>
      <w:r w:rsidRPr="009930ED">
        <w:rPr>
          <w:rFonts w:ascii="Garamond" w:hAnsi="Garamond" w:cs="Segoe UI"/>
          <w:sz w:val="24"/>
          <w:szCs w:val="24"/>
          <w:shd w:val="clear" w:color="auto" w:fill="F7F7F8"/>
        </w:rPr>
        <w:t xml:space="preserve"> akan </w:t>
      </w:r>
      <w:r w:rsidRPr="009930ED">
        <w:rPr>
          <w:rFonts w:ascii="Garamond" w:hAnsi="Garamond" w:cs="Segoe UI"/>
          <w:sz w:val="24"/>
          <w:szCs w:val="24"/>
        </w:rPr>
        <w:t>diberikan oleh keluarga pria kepada keluarga wanita. Proses penetapan mahar dalam konteks</w:t>
      </w:r>
      <w:r w:rsidRPr="009930ED">
        <w:rPr>
          <w:rFonts w:ascii="Garamond" w:hAnsi="Garamond" w:cs="Segoe UI"/>
          <w:sz w:val="24"/>
          <w:szCs w:val="24"/>
          <w:shd w:val="clear" w:color="auto" w:fill="F7F7F8"/>
        </w:rPr>
        <w:t xml:space="preserve"> </w:t>
      </w:r>
      <w:r w:rsidRPr="009930ED">
        <w:rPr>
          <w:rFonts w:ascii="Garamond" w:hAnsi="Garamond" w:cs="Segoe UI"/>
          <w:sz w:val="24"/>
          <w:szCs w:val="24"/>
        </w:rPr>
        <w:t>pernikahan ini dapat ditentukan oleh orang tua wanita atau melalui musyawarah di antara</w:t>
      </w:r>
      <w:r w:rsidRPr="009930ED">
        <w:rPr>
          <w:rFonts w:ascii="Garamond" w:hAnsi="Garamond" w:cs="Segoe UI"/>
          <w:sz w:val="24"/>
          <w:szCs w:val="24"/>
          <w:shd w:val="clear" w:color="auto" w:fill="F7F7F8"/>
        </w:rPr>
        <w:t xml:space="preserve"> </w:t>
      </w:r>
      <w:r w:rsidRPr="009930ED">
        <w:rPr>
          <w:rFonts w:ascii="Garamond" w:hAnsi="Garamond" w:cs="Segoe UI"/>
          <w:sz w:val="24"/>
          <w:szCs w:val="24"/>
        </w:rPr>
        <w:t>anggota keluarga. Selain itu, besarnya nilai mahar juga dipengaruhi oleh faktor-faktor seperti</w:t>
      </w:r>
      <w:r w:rsidRPr="009930ED">
        <w:rPr>
          <w:rFonts w:ascii="Garamond" w:hAnsi="Garamond" w:cs="Segoe UI"/>
          <w:sz w:val="24"/>
          <w:szCs w:val="24"/>
          <w:shd w:val="clear" w:color="auto" w:fill="F7F7F8"/>
        </w:rPr>
        <w:t xml:space="preserve"> </w:t>
      </w:r>
      <w:r w:rsidRPr="009930ED">
        <w:rPr>
          <w:rFonts w:ascii="Garamond" w:hAnsi="Garamond" w:cs="Segoe UI"/>
          <w:sz w:val="24"/>
          <w:szCs w:val="24"/>
        </w:rPr>
        <w:t>status sosial, pendidikan, dan kekayaan.</w:t>
      </w:r>
      <w:r w:rsidR="00692970">
        <w:rPr>
          <w:rStyle w:val="FootnoteReference"/>
          <w:rFonts w:ascii="Garamond" w:hAnsi="Garamond"/>
          <w:sz w:val="24"/>
          <w:szCs w:val="24"/>
        </w:rPr>
        <w:footnoteReference w:id="6"/>
      </w:r>
    </w:p>
    <w:p w14:paraId="6EDEA16D" w14:textId="77777777" w:rsidR="001E385E" w:rsidRDefault="001E385E" w:rsidP="001E385E">
      <w:pPr>
        <w:rPr>
          <w:rFonts w:ascii="Garamond" w:hAnsi="Garamond" w:cs="Segoe UI"/>
          <w:sz w:val="24"/>
          <w:szCs w:val="24"/>
        </w:rPr>
      </w:pPr>
      <w:r>
        <w:rPr>
          <w:rFonts w:ascii="Garamond" w:hAnsi="Garamond" w:cs="Segoe UI"/>
          <w:sz w:val="24"/>
          <w:szCs w:val="24"/>
        </w:rPr>
        <w:t xml:space="preserve">Adapun perbedaannya dengan penelitian-penelitian diatas penelitian lebih memfokuskan pada aspek maqashid syariah mengeni penggunaan mahar dalam perkawinan. Hal tersebut dikarenakan, maqashid syariah merupakan rujukan terhadap tujuan dari hukum Islam. </w:t>
      </w:r>
    </w:p>
    <w:p w14:paraId="5E873967" w14:textId="12AF6C69" w:rsidR="00C03C72" w:rsidRPr="00C03C72" w:rsidRDefault="00C03C72" w:rsidP="001E385E">
      <w:pPr>
        <w:rPr>
          <w:rFonts w:ascii="Garamond" w:hAnsi="Garamond" w:cs="Segoe UI"/>
          <w:sz w:val="24"/>
          <w:szCs w:val="24"/>
        </w:rPr>
      </w:pPr>
      <w:r w:rsidRPr="00C03C72">
        <w:rPr>
          <w:rFonts w:ascii="Garamond" w:hAnsi="Garamond" w:cs="Segoe UI"/>
          <w:sz w:val="24"/>
          <w:szCs w:val="24"/>
        </w:rPr>
        <w:t>Melalui penelitian ini, dilakukan tinjauan lebih mendalam tentang konsep mahar menggunakan hafalan al-Qur'an dalam perspektif Maqashid Syariah. Dengan mempertimbangkan tujuan-tujuan utama hukum Islam, diharapkan dapat diidentifikasi implikasi sosial, moral, dan spiritual dari model mahar ini. Selain itu, penelitian ini juga bertujuan untuk menjawab pertanyaan tentang bagaimana penggunaan hafalan al-Qur'an dalam mahar dapat mendukung pencapaian Maqashid Syariah secara keseluruhan.</w:t>
      </w:r>
    </w:p>
    <w:p w14:paraId="22C85EC5" w14:textId="3062EF68" w:rsidR="00C03C72" w:rsidRPr="00C03C72" w:rsidRDefault="00C03C72" w:rsidP="00C03C72">
      <w:pPr>
        <w:ind w:firstLine="567"/>
        <w:rPr>
          <w:rFonts w:ascii="Garamond" w:hAnsi="Garamond" w:cs="Traditional Arabic"/>
          <w:sz w:val="24"/>
          <w:szCs w:val="24"/>
          <w:lang w:val="id-ID"/>
        </w:rPr>
      </w:pPr>
      <w:r w:rsidRPr="00C03C72">
        <w:rPr>
          <w:rFonts w:ascii="Garamond" w:hAnsi="Garamond" w:cs="Segoe UI"/>
          <w:sz w:val="24"/>
          <w:szCs w:val="24"/>
        </w:rPr>
        <w:t>Dengan demikian, melalui pemahaman yang lebih dalam terhadap kaitan antara mahar, hafalan al-Qur'an, dan Maqashid Syariah, diharapkan penelitian ini dapat memberikan wawasan yang berharga bagi individu, keluarga, serta masyarakat dalam merangkul nilai-nilai Islam yang mencerahkan dan mensejahterakan.</w:t>
      </w:r>
    </w:p>
    <w:p w14:paraId="64AEE4FD" w14:textId="77777777" w:rsidR="008F6727" w:rsidRPr="008F6727" w:rsidRDefault="008F6727" w:rsidP="001E385E">
      <w:pPr>
        <w:spacing w:line="240" w:lineRule="auto"/>
        <w:ind w:firstLine="0"/>
        <w:rPr>
          <w:rFonts w:asciiTheme="majorHAnsi" w:hAnsiTheme="majorHAnsi" w:cs="Traditional Arabic"/>
          <w:sz w:val="24"/>
          <w:szCs w:val="24"/>
          <w:lang w:val="en-AU"/>
        </w:rPr>
      </w:pPr>
    </w:p>
    <w:p w14:paraId="24939CB2" w14:textId="77777777" w:rsidR="003D31BC" w:rsidRDefault="00491400" w:rsidP="00DE5808">
      <w:pPr>
        <w:tabs>
          <w:tab w:val="left" w:pos="567"/>
        </w:tabs>
        <w:spacing w:after="120"/>
        <w:ind w:left="567" w:hanging="567"/>
        <w:rPr>
          <w:rFonts w:ascii="Book Antiqua" w:hAnsi="Book Antiqua"/>
          <w:b/>
          <w:bCs/>
          <w:sz w:val="24"/>
          <w:szCs w:val="24"/>
          <w:lang w:val="en-AU"/>
        </w:rPr>
      </w:pPr>
      <w:r>
        <w:rPr>
          <w:rFonts w:ascii="Book Antiqua" w:hAnsi="Book Antiqua"/>
          <w:b/>
          <w:bCs/>
          <w:sz w:val="24"/>
          <w:szCs w:val="24"/>
          <w:lang w:val="en-AU"/>
        </w:rPr>
        <w:t>Metodologi</w:t>
      </w:r>
    </w:p>
    <w:p w14:paraId="6EE194BB" w14:textId="3083551F" w:rsidR="006422EB" w:rsidRPr="006422EB" w:rsidRDefault="00C03C72" w:rsidP="006422EB">
      <w:pPr>
        <w:pStyle w:val="ListParagraph"/>
        <w:spacing w:line="276" w:lineRule="auto"/>
        <w:ind w:left="0" w:firstLine="567"/>
        <w:rPr>
          <w:rFonts w:ascii="Garamond" w:hAnsi="Garamond" w:cs="Times New Roman"/>
          <w:color w:val="000000" w:themeColor="text1"/>
          <w:szCs w:val="24"/>
        </w:rPr>
      </w:pPr>
      <w:r>
        <w:rPr>
          <w:rFonts w:ascii="Garamond" w:hAnsi="Garamond" w:cs="Garamond"/>
          <w:color w:val="000000"/>
          <w:spacing w:val="-1"/>
          <w:szCs w:val="24"/>
        </w:rPr>
        <w:t>Metode yang digunakan dalam penelitian ini adalah kualitatif, yakni proses penelitian dengan tujuan memahami masalah sosial secara holistik yang dibentuk melalui tata bahasa secara terperinci.</w:t>
      </w:r>
      <w:r>
        <w:rPr>
          <w:rStyle w:val="FootnoteReference"/>
          <w:rFonts w:ascii="Garamond" w:hAnsi="Garamond"/>
          <w:color w:val="000000"/>
          <w:spacing w:val="-1"/>
          <w:szCs w:val="24"/>
        </w:rPr>
        <w:footnoteReference w:id="7"/>
      </w:r>
      <w:r w:rsidR="007E017A" w:rsidRPr="007E017A">
        <w:rPr>
          <w:rFonts w:ascii="Garamond" w:hAnsi="Garamond" w:cs="Garamond"/>
          <w:color w:val="FF0000"/>
          <w:spacing w:val="-1"/>
          <w:szCs w:val="24"/>
        </w:rPr>
        <w:t xml:space="preserve"> </w:t>
      </w:r>
      <w:r w:rsidRPr="00C03C72">
        <w:rPr>
          <w:rFonts w:ascii="Garamond" w:hAnsi="Garamond" w:cs="Times New Roman"/>
          <w:color w:val="000000" w:themeColor="text1"/>
          <w:szCs w:val="24"/>
        </w:rPr>
        <w:t>Adapun mengenai teknik pengumpulan data dilakukan melalui penyelidikan secara</w:t>
      </w:r>
      <w:r w:rsidRPr="00C03C72">
        <w:rPr>
          <w:rFonts w:ascii="Garamond" w:hAnsi="Garamond" w:cs="Times New Roman"/>
          <w:color w:val="000000" w:themeColor="text1"/>
          <w:szCs w:val="24"/>
          <w:shd w:val="clear" w:color="auto" w:fill="F7F7F8"/>
        </w:rPr>
        <w:t xml:space="preserve"> </w:t>
      </w:r>
      <w:r w:rsidRPr="00C03C72">
        <w:rPr>
          <w:rFonts w:ascii="Garamond" w:hAnsi="Garamond" w:cs="Times New Roman"/>
          <w:color w:val="000000" w:themeColor="text1"/>
          <w:szCs w:val="24"/>
        </w:rPr>
        <w:t>mendalam dengan memanfaatkan berbagai sumber, seperti studi pustaka dari buku, undang-undang, dan artikel yang relevan yang diperoleh dari internet. Informasi dari berbagai sumber</w:t>
      </w:r>
      <w:r w:rsidRPr="00C03C72">
        <w:rPr>
          <w:rFonts w:ascii="Garamond" w:hAnsi="Garamond" w:cs="Times New Roman"/>
          <w:color w:val="000000" w:themeColor="text1"/>
          <w:szCs w:val="24"/>
          <w:shd w:val="clear" w:color="auto" w:fill="F7F7F8"/>
        </w:rPr>
        <w:t xml:space="preserve"> </w:t>
      </w:r>
      <w:r w:rsidRPr="00C03C72">
        <w:rPr>
          <w:rFonts w:ascii="Garamond" w:hAnsi="Garamond" w:cs="Times New Roman"/>
          <w:color w:val="000000" w:themeColor="text1"/>
          <w:szCs w:val="24"/>
        </w:rPr>
        <w:t>ini mencakup berbagai aspek, termasuk tulisan, rekaman lisan, gambaran, dan data arkeologis</w:t>
      </w:r>
      <w:r w:rsidRPr="00C03C72">
        <w:rPr>
          <w:rFonts w:ascii="Garamond" w:hAnsi="Garamond" w:cs="Times New Roman"/>
          <w:color w:val="000000" w:themeColor="text1"/>
          <w:szCs w:val="24"/>
          <w:shd w:val="clear" w:color="auto" w:fill="F7F7F8"/>
        </w:rPr>
        <w:t xml:space="preserve"> </w:t>
      </w:r>
      <w:r w:rsidRPr="00C03C72">
        <w:rPr>
          <w:rFonts w:ascii="Garamond" w:hAnsi="Garamond" w:cs="Times New Roman"/>
          <w:color w:val="000000" w:themeColor="text1"/>
          <w:szCs w:val="24"/>
        </w:rPr>
        <w:t>yang terkait dengan topik penelitian ini.</w:t>
      </w:r>
      <w:r w:rsidR="006422EB">
        <w:rPr>
          <w:rFonts w:ascii="Garamond" w:hAnsi="Garamond" w:cs="Times New Roman"/>
          <w:color w:val="000000" w:themeColor="text1"/>
          <w:szCs w:val="24"/>
        </w:rPr>
        <w:t xml:space="preserve"> </w:t>
      </w:r>
      <w:r w:rsidR="006422EB" w:rsidRPr="007A4BB9">
        <w:rPr>
          <w:rFonts w:ascii="Garamond" w:hAnsi="Garamond"/>
          <w:szCs w:val="24"/>
        </w:rPr>
        <w:t>Sementara itu, teknik analisis data kualitatif menggunakan reduksi data, penyajian data, dan menarik kesimpulan atau verifikasi.</w:t>
      </w:r>
    </w:p>
    <w:p w14:paraId="6B26BF68" w14:textId="77777777" w:rsidR="003D31BC" w:rsidRDefault="003D31BC" w:rsidP="008E16D1">
      <w:pPr>
        <w:tabs>
          <w:tab w:val="left" w:pos="567"/>
        </w:tabs>
        <w:ind w:left="567" w:hanging="567"/>
        <w:rPr>
          <w:rFonts w:ascii="Book Antiqua" w:hAnsi="Book Antiqua"/>
          <w:b/>
          <w:bCs/>
          <w:sz w:val="24"/>
          <w:szCs w:val="24"/>
          <w:lang w:val="en-AU"/>
        </w:rPr>
      </w:pPr>
    </w:p>
    <w:p w14:paraId="4889DFBC" w14:textId="77777777" w:rsidR="00AF0C11" w:rsidRPr="006620A2" w:rsidRDefault="00491400" w:rsidP="00DE5808">
      <w:pPr>
        <w:tabs>
          <w:tab w:val="left" w:pos="567"/>
        </w:tabs>
        <w:spacing w:after="120"/>
        <w:ind w:left="567" w:hanging="567"/>
        <w:rPr>
          <w:rFonts w:ascii="Book Antiqua" w:hAnsi="Book Antiqua"/>
          <w:b/>
          <w:bCs/>
          <w:sz w:val="24"/>
          <w:szCs w:val="24"/>
          <w:lang w:val="en-AU"/>
        </w:rPr>
      </w:pPr>
      <w:r w:rsidRPr="006620A2">
        <w:rPr>
          <w:rFonts w:ascii="Book Antiqua" w:hAnsi="Book Antiqua"/>
          <w:b/>
          <w:bCs/>
          <w:sz w:val="24"/>
          <w:szCs w:val="24"/>
          <w:lang w:val="id-ID"/>
        </w:rPr>
        <w:t xml:space="preserve">Hasil </w:t>
      </w:r>
      <w:r>
        <w:rPr>
          <w:rFonts w:ascii="Book Antiqua" w:hAnsi="Book Antiqua"/>
          <w:b/>
          <w:bCs/>
          <w:sz w:val="24"/>
          <w:szCs w:val="24"/>
          <w:lang w:val="en-AU"/>
        </w:rPr>
        <w:t>d</w:t>
      </w:r>
      <w:r w:rsidRPr="006620A2">
        <w:rPr>
          <w:rFonts w:ascii="Book Antiqua" w:hAnsi="Book Antiqua"/>
          <w:b/>
          <w:bCs/>
          <w:sz w:val="24"/>
          <w:szCs w:val="24"/>
          <w:lang w:val="id-ID"/>
        </w:rPr>
        <w:t>an Pembahasan</w:t>
      </w:r>
    </w:p>
    <w:p w14:paraId="604419D6" w14:textId="77777777" w:rsidR="003226C0" w:rsidRDefault="004E41A4" w:rsidP="003226C0">
      <w:pPr>
        <w:tabs>
          <w:tab w:val="left" w:pos="0"/>
        </w:tabs>
        <w:ind w:firstLine="0"/>
        <w:rPr>
          <w:rFonts w:ascii="Garamond" w:hAnsi="Garamond"/>
          <w:b/>
          <w:bCs/>
          <w:sz w:val="24"/>
          <w:szCs w:val="24"/>
          <w:lang w:val="en-AU"/>
        </w:rPr>
      </w:pPr>
      <w:r>
        <w:rPr>
          <w:rFonts w:ascii="Garamond" w:hAnsi="Garamond"/>
          <w:b/>
          <w:bCs/>
          <w:sz w:val="24"/>
          <w:szCs w:val="24"/>
          <w:lang w:val="en-AU"/>
        </w:rPr>
        <w:t>Mahar Permikahan dalam Hukum Islam</w:t>
      </w:r>
    </w:p>
    <w:p w14:paraId="158C0FCE" w14:textId="0D5993DF" w:rsidR="00A400B2" w:rsidRDefault="003226C0" w:rsidP="00A400B2">
      <w:pPr>
        <w:tabs>
          <w:tab w:val="left" w:pos="0"/>
        </w:tabs>
        <w:ind w:firstLine="0"/>
        <w:rPr>
          <w:rFonts w:ascii="Garamond" w:hAnsi="Garamond" w:cstheme="majorBidi"/>
          <w:sz w:val="24"/>
          <w:szCs w:val="24"/>
        </w:rPr>
      </w:pPr>
      <w:r w:rsidRPr="003226C0">
        <w:rPr>
          <w:rFonts w:ascii="Garamond" w:hAnsi="Garamond" w:cstheme="majorBidi"/>
          <w:b/>
          <w:bCs/>
          <w:sz w:val="24"/>
          <w:szCs w:val="24"/>
          <w:lang w:val="en-AU"/>
        </w:rPr>
        <w:tab/>
      </w:r>
      <w:bookmarkStart w:id="1" w:name="_Hlk142896333"/>
      <w:r w:rsidRPr="003226C0">
        <w:rPr>
          <w:rFonts w:ascii="Garamond" w:hAnsi="Garamond" w:cstheme="majorBidi"/>
          <w:sz w:val="24"/>
          <w:szCs w:val="24"/>
        </w:rPr>
        <w:t>Dalam hukum Islam, mahar merujuk pada</w:t>
      </w:r>
      <w:r w:rsidR="00B21BF5">
        <w:rPr>
          <w:rFonts w:ascii="Garamond" w:hAnsi="Garamond" w:cstheme="majorBidi"/>
          <w:sz w:val="24"/>
          <w:szCs w:val="24"/>
        </w:rPr>
        <w:t xml:space="preserve"> harta yang wajib diberikan </w:t>
      </w:r>
      <w:r w:rsidRPr="003226C0">
        <w:rPr>
          <w:rFonts w:ascii="Garamond" w:hAnsi="Garamond" w:cstheme="majorBidi"/>
          <w:sz w:val="24"/>
          <w:szCs w:val="24"/>
        </w:rPr>
        <w:t>oleh</w:t>
      </w:r>
      <w:r w:rsidR="00B21BF5">
        <w:rPr>
          <w:rFonts w:ascii="Garamond" w:hAnsi="Garamond" w:cstheme="majorBidi"/>
          <w:sz w:val="24"/>
          <w:szCs w:val="24"/>
        </w:rPr>
        <w:t xml:space="preserve"> </w:t>
      </w:r>
      <w:r w:rsidRPr="003226C0">
        <w:rPr>
          <w:rFonts w:ascii="Garamond" w:hAnsi="Garamond" w:cstheme="majorBidi"/>
          <w:sz w:val="24"/>
          <w:szCs w:val="24"/>
        </w:rPr>
        <w:t xml:space="preserve">pihak laki-laki kepada pihak perempuan sebagai </w:t>
      </w:r>
      <w:r w:rsidR="00B21BF5">
        <w:rPr>
          <w:rFonts w:ascii="Garamond" w:hAnsi="Garamond" w:cstheme="majorBidi"/>
          <w:sz w:val="24"/>
          <w:szCs w:val="24"/>
        </w:rPr>
        <w:t>sebab bagian terjadinya akad nikah atau hubungan badan.</w:t>
      </w:r>
      <w:r w:rsidR="00B21BF5">
        <w:rPr>
          <w:rStyle w:val="FootnoteReference"/>
          <w:rFonts w:ascii="Garamond" w:hAnsi="Garamond"/>
          <w:sz w:val="24"/>
          <w:szCs w:val="24"/>
        </w:rPr>
        <w:footnoteReference w:id="8"/>
      </w:r>
      <w:r w:rsidR="00727BAE">
        <w:rPr>
          <w:rFonts w:ascii="Garamond" w:hAnsi="Garamond" w:cstheme="majorBidi"/>
          <w:sz w:val="24"/>
          <w:szCs w:val="24"/>
        </w:rPr>
        <w:t xml:space="preserve"> </w:t>
      </w:r>
    </w:p>
    <w:p w14:paraId="14063159" w14:textId="0D5FA6F9" w:rsidR="00EC79D3" w:rsidRPr="00736EE1" w:rsidRDefault="00A400B2" w:rsidP="00736EE1">
      <w:pPr>
        <w:tabs>
          <w:tab w:val="left" w:pos="0"/>
        </w:tabs>
        <w:ind w:firstLine="0"/>
        <w:rPr>
          <w:rFonts w:ascii="Garamond" w:hAnsi="Garamond" w:cs="Segoe UI"/>
          <w:sz w:val="24"/>
          <w:szCs w:val="24"/>
          <w:shd w:val="clear" w:color="auto" w:fill="FFFFFF" w:themeFill="background1"/>
        </w:rPr>
      </w:pPr>
      <w:r>
        <w:rPr>
          <w:rFonts w:ascii="Garamond" w:hAnsi="Garamond" w:cstheme="majorBidi"/>
          <w:sz w:val="24"/>
          <w:szCs w:val="24"/>
        </w:rPr>
        <w:tab/>
      </w:r>
      <w:r w:rsidRPr="00A400B2">
        <w:rPr>
          <w:rFonts w:ascii="Garamond" w:hAnsi="Garamond" w:cs="Segoe UI"/>
          <w:sz w:val="24"/>
          <w:szCs w:val="24"/>
          <w:shd w:val="clear" w:color="auto" w:fill="FFFFFF" w:themeFill="background1"/>
        </w:rPr>
        <w:t>Mahar dalam bahasa Arab, yang dijelaskan oleh para ahli bahasa Arab sebagai "</w:t>
      </w:r>
      <w:r w:rsidRPr="00EC79D3">
        <w:rPr>
          <w:rFonts w:ascii="Garamond" w:hAnsi="Garamond" w:cs="Segoe UI"/>
          <w:i/>
          <w:iCs/>
          <w:sz w:val="24"/>
          <w:szCs w:val="24"/>
          <w:shd w:val="clear" w:color="auto" w:fill="FFFFFF" w:themeFill="background1"/>
        </w:rPr>
        <w:t>al-Atiyah</w:t>
      </w:r>
      <w:r w:rsidRPr="00A400B2">
        <w:rPr>
          <w:rFonts w:ascii="Garamond" w:hAnsi="Garamond" w:cs="Segoe UI"/>
          <w:sz w:val="24"/>
          <w:szCs w:val="24"/>
          <w:shd w:val="clear" w:color="auto" w:fill="FFFFFF" w:themeFill="background1"/>
        </w:rPr>
        <w:t>"</w:t>
      </w:r>
      <w:r w:rsidR="00EC79D3">
        <w:rPr>
          <w:rStyle w:val="FootnoteReference"/>
          <w:rFonts w:ascii="Garamond" w:hAnsi="Garamond"/>
          <w:sz w:val="24"/>
          <w:szCs w:val="24"/>
          <w:shd w:val="clear" w:color="auto" w:fill="FFFFFF" w:themeFill="background1"/>
        </w:rPr>
        <w:footnoteReference w:id="9"/>
      </w:r>
      <w:r w:rsidRPr="00A400B2">
        <w:rPr>
          <w:rFonts w:ascii="Garamond" w:hAnsi="Garamond" w:cs="Segoe UI"/>
          <w:sz w:val="24"/>
          <w:szCs w:val="24"/>
          <w:shd w:val="clear" w:color="auto" w:fill="FFFFFF" w:themeFill="background1"/>
        </w:rPr>
        <w:t xml:space="preserve"> atau "</w:t>
      </w:r>
      <w:r w:rsidRPr="00EC79D3">
        <w:rPr>
          <w:rFonts w:ascii="Garamond" w:hAnsi="Garamond" w:cs="Segoe UI"/>
          <w:i/>
          <w:iCs/>
          <w:sz w:val="24"/>
          <w:szCs w:val="24"/>
          <w:shd w:val="clear" w:color="auto" w:fill="FFFFFF" w:themeFill="background1"/>
        </w:rPr>
        <w:t>al-Sadaq</w:t>
      </w:r>
      <w:r w:rsidRPr="00A400B2">
        <w:rPr>
          <w:rFonts w:ascii="Garamond" w:hAnsi="Garamond" w:cs="Segoe UI"/>
          <w:sz w:val="24"/>
          <w:szCs w:val="24"/>
          <w:shd w:val="clear" w:color="auto" w:fill="FFFFFF" w:themeFill="background1"/>
        </w:rPr>
        <w:t>"</w:t>
      </w:r>
      <w:r w:rsidR="00EC79D3">
        <w:rPr>
          <w:rStyle w:val="FootnoteReference"/>
          <w:rFonts w:ascii="Garamond" w:hAnsi="Garamond"/>
          <w:sz w:val="24"/>
          <w:szCs w:val="24"/>
          <w:shd w:val="clear" w:color="auto" w:fill="FFFFFF" w:themeFill="background1"/>
        </w:rPr>
        <w:footnoteReference w:id="10"/>
      </w:r>
      <w:r w:rsidRPr="00A400B2">
        <w:rPr>
          <w:rFonts w:ascii="Garamond" w:hAnsi="Garamond" w:cs="Segoe UI"/>
          <w:sz w:val="24"/>
          <w:szCs w:val="24"/>
          <w:shd w:val="clear" w:color="auto" w:fill="FFFFFF" w:themeFill="background1"/>
        </w:rPr>
        <w:t>, tidak hanya terbatas pada makna harfiah,</w:t>
      </w:r>
      <w:r w:rsidRPr="00A400B2">
        <w:rPr>
          <w:rFonts w:ascii="Garamond" w:hAnsi="Garamond" w:cs="Segoe UI"/>
          <w:sz w:val="24"/>
          <w:szCs w:val="24"/>
          <w:shd w:val="clear" w:color="auto" w:fill="F7F7F8"/>
        </w:rPr>
        <w:t xml:space="preserve"> </w:t>
      </w:r>
      <w:r w:rsidRPr="00A400B2">
        <w:rPr>
          <w:rFonts w:ascii="Garamond" w:hAnsi="Garamond" w:cs="Segoe UI"/>
          <w:sz w:val="24"/>
          <w:szCs w:val="24"/>
          <w:shd w:val="clear" w:color="auto" w:fill="FFFFFF" w:themeFill="background1"/>
        </w:rPr>
        <w:t xml:space="preserve">tetapi juga telah dipahami bahwa mahar merujuk kepada </w:t>
      </w:r>
      <w:r w:rsidRPr="00EC79D3">
        <w:rPr>
          <w:rFonts w:ascii="Garamond" w:hAnsi="Garamond" w:cs="Segoe UI"/>
          <w:i/>
          <w:iCs/>
          <w:sz w:val="24"/>
          <w:szCs w:val="24"/>
          <w:shd w:val="clear" w:color="auto" w:fill="FFFFFF" w:themeFill="background1"/>
        </w:rPr>
        <w:t>al-Atiyah</w:t>
      </w:r>
      <w:r w:rsidRPr="00A400B2">
        <w:rPr>
          <w:rFonts w:ascii="Garamond" w:hAnsi="Garamond" w:cs="Segoe UI"/>
          <w:sz w:val="24"/>
          <w:szCs w:val="24"/>
          <w:shd w:val="clear" w:color="auto" w:fill="FFFFFF" w:themeFill="background1"/>
        </w:rPr>
        <w:t xml:space="preserve"> atau </w:t>
      </w:r>
      <w:r w:rsidRPr="00EC79D3">
        <w:rPr>
          <w:rFonts w:ascii="Garamond" w:hAnsi="Garamond" w:cs="Segoe UI"/>
          <w:i/>
          <w:iCs/>
          <w:sz w:val="24"/>
          <w:szCs w:val="24"/>
          <w:shd w:val="clear" w:color="auto" w:fill="FFFFFF" w:themeFill="background1"/>
        </w:rPr>
        <w:t>al-Sadaq</w:t>
      </w:r>
      <w:r w:rsidRPr="00A400B2">
        <w:rPr>
          <w:rFonts w:ascii="Garamond" w:hAnsi="Garamond" w:cs="Segoe UI"/>
          <w:sz w:val="24"/>
          <w:szCs w:val="24"/>
          <w:shd w:val="clear" w:color="auto" w:fill="FFFFFF" w:themeFill="background1"/>
        </w:rPr>
        <w:t>,</w:t>
      </w:r>
      <w:r w:rsidRPr="00A400B2">
        <w:rPr>
          <w:rFonts w:ascii="Garamond" w:hAnsi="Garamond" w:cs="Segoe UI"/>
          <w:sz w:val="24"/>
          <w:szCs w:val="24"/>
          <w:shd w:val="clear" w:color="auto" w:fill="F7F7F8"/>
        </w:rPr>
        <w:t xml:space="preserve"> </w:t>
      </w:r>
      <w:r w:rsidRPr="00A400B2">
        <w:rPr>
          <w:rFonts w:ascii="Garamond" w:hAnsi="Garamond" w:cs="Segoe UI"/>
          <w:sz w:val="24"/>
          <w:szCs w:val="24"/>
          <w:shd w:val="clear" w:color="auto" w:fill="FFFFFF" w:themeFill="background1"/>
        </w:rPr>
        <w:t>yakni istilah dalam ilmu fikih</w:t>
      </w:r>
      <w:r w:rsidR="00736EE1">
        <w:rPr>
          <w:rFonts w:ascii="Garamond" w:hAnsi="Garamond"/>
          <w:sz w:val="24"/>
          <w:szCs w:val="24"/>
          <w:shd w:val="clear" w:color="auto" w:fill="FFFFFF" w:themeFill="background1"/>
        </w:rPr>
        <w:t xml:space="preserve"> </w:t>
      </w:r>
      <w:r w:rsidRPr="00A400B2">
        <w:rPr>
          <w:rFonts w:ascii="Garamond" w:hAnsi="Garamond" w:cs="Segoe UI"/>
          <w:sz w:val="24"/>
          <w:szCs w:val="24"/>
          <w:shd w:val="clear" w:color="auto" w:fill="FFFFFF" w:themeFill="background1"/>
        </w:rPr>
        <w:t>yang mengindikasikan pemberian dari seorang pria</w:t>
      </w:r>
      <w:r w:rsidRPr="00A400B2">
        <w:rPr>
          <w:rFonts w:ascii="Garamond" w:hAnsi="Garamond" w:cs="Segoe UI"/>
          <w:sz w:val="24"/>
          <w:szCs w:val="24"/>
          <w:shd w:val="clear" w:color="auto" w:fill="F7F7F8"/>
        </w:rPr>
        <w:t xml:space="preserve"> </w:t>
      </w:r>
      <w:r w:rsidRPr="00A400B2">
        <w:rPr>
          <w:rFonts w:ascii="Garamond" w:hAnsi="Garamond" w:cs="Segoe UI"/>
          <w:sz w:val="24"/>
          <w:szCs w:val="24"/>
          <w:shd w:val="clear" w:color="auto" w:fill="FFFFFF" w:themeFill="background1"/>
        </w:rPr>
        <w:t>kepada wanita dalam konteks pentingnya pernikahan.</w:t>
      </w:r>
      <w:r w:rsidR="00736EE1">
        <w:rPr>
          <w:rStyle w:val="FootnoteReference"/>
          <w:rFonts w:ascii="Garamond" w:hAnsi="Garamond"/>
          <w:sz w:val="24"/>
          <w:szCs w:val="24"/>
          <w:shd w:val="clear" w:color="auto" w:fill="FFFFFF" w:themeFill="background1"/>
        </w:rPr>
        <w:footnoteReference w:id="11"/>
      </w:r>
    </w:p>
    <w:p w14:paraId="660C7921" w14:textId="3E6F30AF" w:rsidR="00A400B2" w:rsidRPr="008424E0" w:rsidRDefault="00A400B2" w:rsidP="008424E0">
      <w:pPr>
        <w:tabs>
          <w:tab w:val="left" w:pos="0"/>
        </w:tabs>
        <w:ind w:firstLine="0"/>
        <w:rPr>
          <w:rFonts w:ascii="Garamond" w:hAnsi="Garamond" w:cs="Segoe UI"/>
          <w:color w:val="000000" w:themeColor="text1"/>
          <w:sz w:val="24"/>
          <w:szCs w:val="24"/>
          <w:shd w:val="clear" w:color="auto" w:fill="F7F7F8"/>
        </w:rPr>
      </w:pPr>
      <w:r w:rsidRPr="00A400B2">
        <w:rPr>
          <w:rFonts w:ascii="Garamond" w:hAnsi="Garamond" w:cstheme="majorBidi"/>
          <w:sz w:val="24"/>
          <w:szCs w:val="24"/>
        </w:rPr>
        <w:tab/>
      </w:r>
      <w:r w:rsidRPr="00A53C14">
        <w:rPr>
          <w:rFonts w:ascii="Garamond" w:hAnsi="Garamond" w:cs="Segoe UI"/>
          <w:color w:val="000000" w:themeColor="text1"/>
          <w:sz w:val="24"/>
          <w:szCs w:val="24"/>
          <w:shd w:val="clear" w:color="auto" w:fill="FFFFFF" w:themeFill="background1"/>
        </w:rPr>
        <w:t>Mahar dalam terminologi fukaha diartikan sebagai harta atau benda yang</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diberikan dengan maksud pernikahan. Hal ini dijelaskan oleh beberapa ulama,</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seperti al-Sarkhasi dan al-Nawawi, yang merumuskan definisi serupa</w:t>
      </w:r>
      <w:r w:rsidR="00C64113" w:rsidRPr="008424E0">
        <w:rPr>
          <w:rStyle w:val="FootnoteReference"/>
          <w:rFonts w:ascii="Garamond" w:hAnsi="Garamond"/>
          <w:color w:val="000000" w:themeColor="text1"/>
          <w:sz w:val="24"/>
          <w:szCs w:val="24"/>
          <w:shd w:val="clear" w:color="auto" w:fill="FFFFFF" w:themeFill="background1"/>
        </w:rPr>
        <w:footnoteReference w:id="12"/>
      </w:r>
      <w:r w:rsidR="009206FD">
        <w:rPr>
          <w:rFonts w:ascii="Garamond" w:hAnsi="Garamond" w:cs="Segoe UI"/>
          <w:color w:val="000000" w:themeColor="text1"/>
          <w:sz w:val="24"/>
          <w:szCs w:val="24"/>
          <w:shd w:val="clear" w:color="auto" w:fill="FFFFFF" w:themeFill="background1"/>
        </w:rPr>
        <w:t xml:space="preserve"> </w:t>
      </w:r>
      <w:r w:rsidRPr="008424E0">
        <w:rPr>
          <w:rFonts w:ascii="Garamond" w:hAnsi="Garamond" w:cs="Segoe UI"/>
          <w:color w:val="000000" w:themeColor="text1"/>
          <w:sz w:val="24"/>
          <w:szCs w:val="24"/>
          <w:shd w:val="clear" w:color="auto" w:fill="FFFFFF" w:themeFill="background1"/>
        </w:rPr>
        <w:t>Selanjutnya, al-Kasani mengartikannya sebagai "al-Atiyah" atau pemberian</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sukarela dalam bentuk materi.</w:t>
      </w:r>
      <w:r w:rsidR="002D0917" w:rsidRPr="008424E0">
        <w:rPr>
          <w:rStyle w:val="FootnoteReference"/>
          <w:rFonts w:ascii="Garamond" w:hAnsi="Garamond"/>
          <w:color w:val="000000" w:themeColor="text1"/>
          <w:sz w:val="24"/>
          <w:szCs w:val="24"/>
          <w:shd w:val="clear" w:color="auto" w:fill="FFFFFF" w:themeFill="background1"/>
        </w:rPr>
        <w:footnoteReference w:id="13"/>
      </w:r>
      <w:r w:rsidRPr="008424E0">
        <w:rPr>
          <w:rFonts w:ascii="Garamond" w:hAnsi="Garamond" w:cs="Segoe UI"/>
          <w:color w:val="000000" w:themeColor="text1"/>
          <w:sz w:val="24"/>
          <w:szCs w:val="24"/>
          <w:shd w:val="clear" w:color="auto" w:fill="FFFFFF" w:themeFill="background1"/>
        </w:rPr>
        <w:t>Pendapat lain datang dari al-Kharsi, seorang fukaha Maliki, yang mendefinisikan</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mahar sebagai hak istri atas harta yang diberikan pada saat atau setelah akad</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 xml:space="preserve">pernikahan. </w:t>
      </w:r>
      <w:r w:rsidR="0039502A" w:rsidRPr="008424E0">
        <w:rPr>
          <w:rStyle w:val="FootnoteReference"/>
          <w:rFonts w:ascii="Garamond" w:hAnsi="Garamond"/>
          <w:color w:val="000000" w:themeColor="text1"/>
          <w:sz w:val="24"/>
          <w:szCs w:val="24"/>
          <w:shd w:val="clear" w:color="auto" w:fill="FFFFFF" w:themeFill="background1"/>
        </w:rPr>
        <w:footnoteReference w:id="14"/>
      </w:r>
      <w:r w:rsidR="008424E0" w:rsidRPr="008424E0">
        <w:rPr>
          <w:rFonts w:ascii="Garamond" w:hAnsi="Garamond" w:cs="Segoe UI"/>
          <w:color w:val="000000" w:themeColor="text1"/>
          <w:sz w:val="24"/>
          <w:szCs w:val="24"/>
          <w:shd w:val="clear" w:color="auto" w:fill="F7F7F8"/>
        </w:rPr>
        <w:t xml:space="preserve"> </w:t>
      </w:r>
      <w:r w:rsidR="00EC79D3" w:rsidRPr="008424E0">
        <w:rPr>
          <w:rFonts w:ascii="Garamond" w:hAnsi="Garamond" w:cs="Segoe UI"/>
          <w:color w:val="000000" w:themeColor="text1"/>
          <w:sz w:val="24"/>
          <w:szCs w:val="24"/>
          <w:shd w:val="clear" w:color="auto" w:fill="FFFFFF" w:themeFill="background1"/>
        </w:rPr>
        <w:t xml:space="preserve">Pada </w:t>
      </w:r>
      <w:r w:rsidRPr="008424E0">
        <w:rPr>
          <w:rFonts w:ascii="Garamond" w:hAnsi="Garamond" w:cs="Segoe UI"/>
          <w:color w:val="000000" w:themeColor="text1"/>
          <w:sz w:val="24"/>
          <w:szCs w:val="24"/>
          <w:shd w:val="clear" w:color="auto" w:fill="FFFFFF" w:themeFill="background1"/>
        </w:rPr>
        <w:t>pihak lai</w:t>
      </w:r>
      <w:r w:rsidR="007F78C2" w:rsidRPr="008424E0">
        <w:rPr>
          <w:rFonts w:ascii="Garamond" w:hAnsi="Garamond" w:cs="Segoe UI"/>
          <w:color w:val="000000" w:themeColor="text1"/>
          <w:sz w:val="24"/>
          <w:szCs w:val="24"/>
          <w:shd w:val="clear" w:color="auto" w:fill="FFFFFF" w:themeFill="background1"/>
        </w:rPr>
        <w:t>n</w:t>
      </w:r>
      <w:r w:rsidR="00EC79D3" w:rsidRPr="008424E0">
        <w:rPr>
          <w:rFonts w:ascii="Garamond" w:hAnsi="Garamond" w:cs="Segoe UI"/>
          <w:color w:val="000000" w:themeColor="text1"/>
          <w:sz w:val="24"/>
          <w:szCs w:val="24"/>
          <w:shd w:val="clear" w:color="auto" w:fill="FFFFFF" w:themeFill="background1"/>
        </w:rPr>
        <w:t xml:space="preserve"> </w:t>
      </w:r>
      <w:r w:rsidRPr="008424E0">
        <w:rPr>
          <w:rFonts w:ascii="Garamond" w:hAnsi="Garamond" w:cs="Segoe UI"/>
          <w:color w:val="000000" w:themeColor="text1"/>
          <w:sz w:val="24"/>
          <w:szCs w:val="24"/>
          <w:shd w:val="clear" w:color="auto" w:fill="FFFFFF" w:themeFill="background1"/>
        </w:rPr>
        <w:t>al-Syafi'i dalam sebuah riwayat menjelaskan bahwa mahar adalah</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 xml:space="preserve">hak atas harta yang diwajibkan diberikan kepada jiwa seorang wanita. </w:t>
      </w:r>
      <w:r w:rsidR="007F78C2" w:rsidRPr="008424E0">
        <w:rPr>
          <w:rStyle w:val="FootnoteReference"/>
          <w:rFonts w:ascii="Garamond" w:hAnsi="Garamond"/>
          <w:color w:val="000000" w:themeColor="text1"/>
          <w:sz w:val="24"/>
          <w:szCs w:val="24"/>
          <w:shd w:val="clear" w:color="auto" w:fill="FFFFFF" w:themeFill="background1"/>
        </w:rPr>
        <w:footnoteReference w:id="15"/>
      </w:r>
      <w:r w:rsidRPr="008424E0">
        <w:rPr>
          <w:rFonts w:ascii="Garamond" w:hAnsi="Garamond" w:cs="Segoe UI"/>
          <w:color w:val="000000" w:themeColor="text1"/>
          <w:sz w:val="24"/>
          <w:szCs w:val="24"/>
          <w:shd w:val="clear" w:color="auto" w:fill="FFFFFF" w:themeFill="background1"/>
        </w:rPr>
        <w:t>Dalam buku "Kifayah al-Akhyar," yang merincikan pandangan Abi Syuja',</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dijelaskan bahwa mahar adalah harta yang diberikan oleh pria untuk tujuan</w:t>
      </w:r>
      <w:r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 xml:space="preserve">pernikahan. </w:t>
      </w:r>
      <w:r w:rsidR="00E80709" w:rsidRPr="008424E0">
        <w:rPr>
          <w:rStyle w:val="FootnoteReference"/>
          <w:rFonts w:ascii="Garamond" w:hAnsi="Garamond"/>
          <w:color w:val="000000" w:themeColor="text1"/>
          <w:sz w:val="24"/>
          <w:szCs w:val="24"/>
          <w:shd w:val="clear" w:color="auto" w:fill="FFFFFF" w:themeFill="background1"/>
        </w:rPr>
        <w:footnoteReference w:id="16"/>
      </w:r>
      <w:r w:rsidR="008424E0" w:rsidRPr="00C15E55">
        <w:rPr>
          <w:rFonts w:ascii="Garamond" w:hAnsi="Garamond" w:cs="Segoe UI"/>
          <w:color w:val="000000" w:themeColor="text1"/>
          <w:sz w:val="24"/>
          <w:szCs w:val="24"/>
          <w:shd w:val="clear" w:color="auto" w:fill="FFFFFF" w:themeFill="background1"/>
        </w:rPr>
        <w:t>Kemudian</w:t>
      </w:r>
      <w:r w:rsidR="008424E0" w:rsidRPr="008424E0">
        <w:rPr>
          <w:rFonts w:ascii="Garamond" w:hAnsi="Garamond" w:cs="Segoe UI"/>
          <w:color w:val="000000" w:themeColor="text1"/>
          <w:sz w:val="24"/>
          <w:szCs w:val="24"/>
          <w:shd w:val="clear" w:color="auto" w:fill="F7F7F8"/>
        </w:rPr>
        <w:t xml:space="preserve"> </w:t>
      </w:r>
      <w:r w:rsidRPr="008424E0">
        <w:rPr>
          <w:rFonts w:ascii="Garamond" w:hAnsi="Garamond" w:cs="Segoe UI"/>
          <w:color w:val="000000" w:themeColor="text1"/>
          <w:sz w:val="24"/>
          <w:szCs w:val="24"/>
          <w:shd w:val="clear" w:color="auto" w:fill="FFFFFF" w:themeFill="background1"/>
        </w:rPr>
        <w:t>al-Sinaiki juga menambahkan bahwa mahar adalah imbalan atas kerelaan untuk sah memiliki oleh suami.</w:t>
      </w:r>
      <w:r w:rsidR="008424E0" w:rsidRPr="008424E0">
        <w:rPr>
          <w:rStyle w:val="FootnoteReference"/>
          <w:rFonts w:ascii="Garamond" w:hAnsi="Garamond"/>
          <w:color w:val="000000" w:themeColor="text1"/>
          <w:sz w:val="24"/>
          <w:szCs w:val="24"/>
          <w:shd w:val="clear" w:color="auto" w:fill="FFFFFF" w:themeFill="background1"/>
        </w:rPr>
        <w:footnoteReference w:id="17"/>
      </w:r>
    </w:p>
    <w:p w14:paraId="375F18CB" w14:textId="4D630D80" w:rsidR="003226C0" w:rsidRDefault="008424E0" w:rsidP="006356BE">
      <w:pPr>
        <w:tabs>
          <w:tab w:val="left" w:pos="0"/>
        </w:tabs>
        <w:ind w:firstLine="0"/>
        <w:rPr>
          <w:rFonts w:ascii="Garamond" w:hAnsi="Garamond" w:cstheme="majorBidi"/>
          <w:sz w:val="24"/>
          <w:szCs w:val="24"/>
        </w:rPr>
      </w:pPr>
      <w:r>
        <w:rPr>
          <w:rFonts w:ascii="Garamond" w:hAnsi="Garamond" w:cstheme="majorBidi"/>
          <w:sz w:val="24"/>
          <w:szCs w:val="24"/>
        </w:rPr>
        <w:tab/>
      </w:r>
      <w:r w:rsidR="00B21BF5">
        <w:rPr>
          <w:rFonts w:ascii="Garamond" w:hAnsi="Garamond" w:cstheme="majorBidi"/>
          <w:sz w:val="24"/>
          <w:szCs w:val="24"/>
        </w:rPr>
        <w:t xml:space="preserve">Mahar merupakan </w:t>
      </w:r>
      <w:r w:rsidR="003226C0" w:rsidRPr="003226C0">
        <w:rPr>
          <w:rFonts w:ascii="Garamond" w:hAnsi="Garamond" w:cstheme="majorBidi"/>
          <w:sz w:val="24"/>
          <w:szCs w:val="24"/>
        </w:rPr>
        <w:t>bagian dari proses pernikahan</w:t>
      </w:r>
      <w:r w:rsidR="00231206">
        <w:rPr>
          <w:rFonts w:ascii="Garamond" w:hAnsi="Garamond" w:cstheme="majorBidi"/>
          <w:sz w:val="24"/>
          <w:szCs w:val="24"/>
        </w:rPr>
        <w:t xml:space="preserve">, sehingga merupakan </w:t>
      </w:r>
      <w:r w:rsidR="003226C0" w:rsidRPr="003226C0">
        <w:rPr>
          <w:rFonts w:ascii="Garamond" w:hAnsi="Garamond" w:cstheme="majorBidi"/>
          <w:sz w:val="24"/>
          <w:szCs w:val="24"/>
        </w:rPr>
        <w:t>salah satu elemen penting dalam pernikahan dalam agama Islam dan memiliki makna yang lebih dalam daripada sekadar nilai materi.</w:t>
      </w:r>
      <w:bookmarkEnd w:id="1"/>
      <w:r w:rsidR="00B21BF5">
        <w:rPr>
          <w:rFonts w:ascii="Garamond" w:hAnsi="Garamond" w:cstheme="majorBidi"/>
          <w:sz w:val="24"/>
          <w:szCs w:val="24"/>
        </w:rPr>
        <w:t xml:space="preserve"> </w:t>
      </w:r>
      <w:r w:rsidR="003226C0" w:rsidRPr="003226C0">
        <w:rPr>
          <w:rFonts w:ascii="Garamond" w:hAnsi="Garamond" w:cstheme="majorBidi"/>
          <w:sz w:val="24"/>
          <w:szCs w:val="24"/>
        </w:rPr>
        <w:t>Secara harfiah, "mahar" berasal dari bahasa Arab yang berarti "hadiah" atau "harga." Mahar ini adalah wujud tanggung jawab dan penghargaan yang diberikan oleh pihak laki-laki kepada calon istri sebagai manifestasi cinta, komitmen, dan penghormatan. Dalam Islam, mahar menjadi salah satu hak perempuan yang harus dihormati dan dipenuhi oleh suami.</w:t>
      </w:r>
    </w:p>
    <w:p w14:paraId="6952CC20" w14:textId="77777777" w:rsidR="003226C0" w:rsidRPr="003226C0" w:rsidRDefault="003226C0" w:rsidP="003226C0">
      <w:pPr>
        <w:tabs>
          <w:tab w:val="left" w:pos="0"/>
        </w:tabs>
        <w:ind w:firstLine="0"/>
        <w:rPr>
          <w:rFonts w:ascii="Garamond" w:hAnsi="Garamond" w:cstheme="majorBidi"/>
          <w:sz w:val="24"/>
          <w:szCs w:val="24"/>
        </w:rPr>
      </w:pPr>
      <w:r w:rsidRPr="003226C0">
        <w:rPr>
          <w:rFonts w:ascii="Garamond" w:hAnsi="Garamond" w:cstheme="majorBidi"/>
          <w:sz w:val="24"/>
          <w:szCs w:val="24"/>
        </w:rPr>
        <w:tab/>
        <w:t>Mahar dalam hukum Islam dapat berupa harta, uang, harta berharga, properti, atau sesuatu yang memiliki nilai. Jumlah mahar tidak ditetapkan secara spesifik dalam agama Islam, tetapi sesuai dengan ajaran agama, mahar seharusnya merupakan pemberian yang memadai dan bisa dibayar oleh pihak laki-laki. Jumlah mahar dapat disepakati oleh kedua belah pihak atau ditentukan berdasarkan kebiasaan dan kondisi sosial di masyarakat tempat mereka tinggal.</w:t>
      </w:r>
    </w:p>
    <w:p w14:paraId="542D7EAC" w14:textId="77777777" w:rsidR="003226C0" w:rsidRPr="003226C0" w:rsidRDefault="003226C0" w:rsidP="003226C0">
      <w:pPr>
        <w:tabs>
          <w:tab w:val="left" w:pos="0"/>
        </w:tabs>
        <w:ind w:firstLine="0"/>
        <w:rPr>
          <w:rFonts w:ascii="Garamond" w:hAnsi="Garamond" w:cstheme="majorBidi"/>
          <w:sz w:val="24"/>
          <w:szCs w:val="24"/>
        </w:rPr>
      </w:pPr>
      <w:r w:rsidRPr="003226C0">
        <w:rPr>
          <w:rFonts w:ascii="Garamond" w:hAnsi="Garamond" w:cstheme="majorBidi"/>
          <w:sz w:val="24"/>
          <w:szCs w:val="24"/>
        </w:rPr>
        <w:tab/>
        <w:t>Selain itu, mahar juga melambangkan komitmen dari pihak laki-laki untuk memberikan perlindungan, nafkah, dan kebahagiaan kepada calon istri. Mahar tidak boleh digunakan sebagai alat penindasan atau penguasaan terhadap perempuan, melainkan sebagai tanda kesepakatan dan saling penghormatan dalam pernikahan.</w:t>
      </w:r>
    </w:p>
    <w:p w14:paraId="09BAE984" w14:textId="138A2960" w:rsidR="0004372A" w:rsidRDefault="003226C0" w:rsidP="0004372A">
      <w:pPr>
        <w:tabs>
          <w:tab w:val="left" w:pos="0"/>
        </w:tabs>
        <w:ind w:firstLine="0"/>
        <w:rPr>
          <w:rFonts w:ascii="Garamond" w:hAnsi="Garamond" w:cs="Segoe UI"/>
          <w:sz w:val="24"/>
          <w:szCs w:val="24"/>
        </w:rPr>
      </w:pPr>
      <w:r w:rsidRPr="003226C0">
        <w:rPr>
          <w:rFonts w:ascii="Garamond" w:hAnsi="Garamond" w:cstheme="majorBidi"/>
          <w:sz w:val="24"/>
          <w:szCs w:val="24"/>
        </w:rPr>
        <w:tab/>
        <w:t>Mahar adalah salah satu aspek pernikahan dalam Islam, dan selain itu, ada berbagai hukum dan prinsip lain yang mengatur pernikahan, termasuk kewajiban suami untuk memberikan nafkah, perlakuan baik terhadap istri, dan tanggung jawab bersama dalam membangun keluarga yang harmonis.</w:t>
      </w:r>
      <w:r w:rsidR="0004372A">
        <w:rPr>
          <w:rFonts w:ascii="Garamond" w:hAnsi="Garamond" w:cstheme="majorBidi"/>
          <w:sz w:val="24"/>
          <w:szCs w:val="24"/>
        </w:rPr>
        <w:t xml:space="preserve"> Sebagaimana dalam Pasal 30-38 Kompilasi Hukum Islam</w:t>
      </w:r>
      <w:r w:rsidR="0004372A" w:rsidRPr="0004372A">
        <w:rPr>
          <w:rFonts w:ascii="Garamond" w:hAnsi="Garamond" w:cstheme="majorBidi"/>
          <w:sz w:val="24"/>
          <w:szCs w:val="24"/>
        </w:rPr>
        <w:t xml:space="preserve">, </w:t>
      </w:r>
      <w:r w:rsidR="0004372A">
        <w:rPr>
          <w:rFonts w:ascii="Garamond" w:hAnsi="Garamond" w:cs="Segoe UI"/>
          <w:sz w:val="24"/>
          <w:szCs w:val="24"/>
        </w:rPr>
        <w:t>m</w:t>
      </w:r>
      <w:r w:rsidR="0004372A" w:rsidRPr="0004372A">
        <w:rPr>
          <w:rFonts w:ascii="Garamond" w:hAnsi="Garamond" w:cs="Segoe UI"/>
          <w:sz w:val="24"/>
          <w:szCs w:val="24"/>
        </w:rPr>
        <w:t xml:space="preserve">ahar </w:t>
      </w:r>
      <w:r w:rsidR="0004372A">
        <w:rPr>
          <w:rFonts w:ascii="Garamond" w:hAnsi="Garamond" w:cs="Segoe UI"/>
          <w:sz w:val="24"/>
          <w:szCs w:val="24"/>
        </w:rPr>
        <w:t>terbagi menjadi</w:t>
      </w:r>
      <w:r w:rsidR="0004372A" w:rsidRPr="0004372A">
        <w:rPr>
          <w:rFonts w:ascii="Garamond" w:hAnsi="Garamond" w:cs="Segoe UI"/>
          <w:sz w:val="24"/>
          <w:szCs w:val="24"/>
        </w:rPr>
        <w:t xml:space="preserve"> dua bentuk, yakni mahar</w:t>
      </w:r>
      <w:r w:rsidR="0004372A" w:rsidRPr="0004372A">
        <w:rPr>
          <w:rFonts w:ascii="Garamond" w:hAnsi="Garamond" w:cs="Segoe UI"/>
          <w:sz w:val="24"/>
          <w:szCs w:val="24"/>
          <w:shd w:val="clear" w:color="auto" w:fill="F7F7F8"/>
        </w:rPr>
        <w:t xml:space="preserve"> </w:t>
      </w:r>
      <w:r w:rsidR="0004372A" w:rsidRPr="0004372A">
        <w:rPr>
          <w:rFonts w:ascii="Garamond" w:hAnsi="Garamond" w:cs="Segoe UI"/>
          <w:sz w:val="24"/>
          <w:szCs w:val="24"/>
        </w:rPr>
        <w:t>yang ditetapkan berdasarkan kesepakatan antara kedua belah pihak, dan</w:t>
      </w:r>
      <w:r w:rsidR="0004372A" w:rsidRPr="0004372A">
        <w:rPr>
          <w:rFonts w:ascii="Garamond" w:hAnsi="Garamond" w:cs="Segoe UI"/>
          <w:sz w:val="24"/>
          <w:szCs w:val="24"/>
          <w:shd w:val="clear" w:color="auto" w:fill="F7F7F8"/>
        </w:rPr>
        <w:t xml:space="preserve"> </w:t>
      </w:r>
      <w:r w:rsidR="0004372A" w:rsidRPr="0004372A">
        <w:rPr>
          <w:rFonts w:ascii="Garamond" w:hAnsi="Garamond" w:cs="Segoe UI"/>
          <w:sz w:val="24"/>
          <w:szCs w:val="24"/>
        </w:rPr>
        <w:t>mahar yang ditetapkan berdasarkan prinsip ke</w:t>
      </w:r>
      <w:r w:rsidR="0004372A">
        <w:rPr>
          <w:rFonts w:ascii="Garamond" w:hAnsi="Garamond" w:cs="Segoe UI"/>
          <w:sz w:val="24"/>
          <w:szCs w:val="24"/>
        </w:rPr>
        <w:t>sederhanaan</w:t>
      </w:r>
      <w:r w:rsidR="0004372A" w:rsidRPr="0004372A">
        <w:rPr>
          <w:rFonts w:ascii="Garamond" w:hAnsi="Garamond" w:cs="Segoe UI"/>
          <w:sz w:val="24"/>
          <w:szCs w:val="24"/>
        </w:rPr>
        <w:t xml:space="preserve"> dan kemudahan.</w:t>
      </w:r>
      <w:bookmarkStart w:id="2" w:name="_Hlk142896344"/>
      <w:r w:rsidR="002B231A">
        <w:rPr>
          <w:rStyle w:val="FootnoteReference"/>
          <w:rFonts w:ascii="Garamond" w:hAnsi="Garamond"/>
          <w:sz w:val="24"/>
          <w:szCs w:val="24"/>
        </w:rPr>
        <w:footnoteReference w:id="18"/>
      </w:r>
    </w:p>
    <w:p w14:paraId="7F25C63C" w14:textId="629D1A0F" w:rsidR="00B336B1" w:rsidRPr="0004372A" w:rsidRDefault="0004372A" w:rsidP="0004372A">
      <w:pPr>
        <w:tabs>
          <w:tab w:val="left" w:pos="0"/>
        </w:tabs>
        <w:ind w:firstLine="0"/>
        <w:rPr>
          <w:rFonts w:ascii="Garamond" w:hAnsi="Garamond" w:cstheme="majorBidi"/>
          <w:sz w:val="24"/>
          <w:szCs w:val="24"/>
        </w:rPr>
      </w:pPr>
      <w:r>
        <w:rPr>
          <w:rFonts w:ascii="Garamond" w:hAnsi="Garamond" w:cstheme="majorBidi"/>
          <w:sz w:val="24"/>
          <w:szCs w:val="24"/>
        </w:rPr>
        <w:tab/>
      </w:r>
      <w:r>
        <w:rPr>
          <w:rFonts w:ascii="Garamond" w:hAnsi="Garamond" w:cs="Segoe UI"/>
          <w:sz w:val="24"/>
          <w:szCs w:val="24"/>
        </w:rPr>
        <w:t xml:space="preserve">Adapun berdasarkan jenisnya, </w:t>
      </w:r>
      <w:r w:rsidR="00B336B1" w:rsidRPr="00D55536">
        <w:rPr>
          <w:rFonts w:ascii="Garamond" w:hAnsi="Garamond" w:cs="Segoe UI"/>
          <w:sz w:val="24"/>
          <w:szCs w:val="24"/>
        </w:rPr>
        <w:t>mahar tergantung pada bentuk, nilai, atau karakteristik pemberiannya</w:t>
      </w:r>
      <w:bookmarkEnd w:id="2"/>
      <w:r w:rsidR="00B336B1" w:rsidRPr="00D55536">
        <w:rPr>
          <w:rFonts w:ascii="Garamond" w:hAnsi="Garamond" w:cs="Segoe UI"/>
          <w:sz w:val="24"/>
          <w:szCs w:val="24"/>
        </w:rPr>
        <w:t xml:space="preserve">. </w:t>
      </w:r>
      <w:r w:rsidR="00B336B1" w:rsidRPr="00D55536">
        <w:rPr>
          <w:rFonts w:ascii="Garamond" w:hAnsi="Garamond" w:cs="Segoe UI"/>
          <w:i/>
          <w:iCs/>
          <w:sz w:val="24"/>
          <w:szCs w:val="24"/>
        </w:rPr>
        <w:t>Pertama</w:t>
      </w:r>
      <w:r w:rsidR="00B336B1" w:rsidRPr="00D55536">
        <w:rPr>
          <w:rFonts w:ascii="Garamond" w:hAnsi="Garamond" w:cs="Segoe UI"/>
          <w:sz w:val="24"/>
          <w:szCs w:val="24"/>
        </w:rPr>
        <w:t xml:space="preserve">, Mahar </w:t>
      </w:r>
      <w:r w:rsidR="00B336B1" w:rsidRPr="00D55536">
        <w:rPr>
          <w:rFonts w:ascii="Garamond" w:hAnsi="Garamond" w:cs="Segoe UI"/>
          <w:i/>
          <w:iCs/>
          <w:sz w:val="24"/>
          <w:szCs w:val="24"/>
        </w:rPr>
        <w:t>Mu’ajja</w:t>
      </w:r>
      <w:r w:rsidR="00B336B1" w:rsidRPr="00D55536">
        <w:rPr>
          <w:rFonts w:ascii="Garamond" w:hAnsi="Garamond" w:cs="Segoe UI"/>
          <w:sz w:val="24"/>
          <w:szCs w:val="24"/>
        </w:rPr>
        <w:t>l, yakni mahar yang dibayarkan pada saat pernikahan atau dalam waktu yang relatif dekat setelah pernikahan. Ini adalah jenis mahar yang paling umum. Mahar ini dapat berupa uang tunai, harta, atau properti lainnya.</w:t>
      </w:r>
      <w:r w:rsidR="009C23C0" w:rsidRPr="00D55536">
        <w:rPr>
          <w:rFonts w:ascii="Garamond" w:hAnsi="Garamond" w:cs="Segoe UI"/>
          <w:sz w:val="24"/>
          <w:szCs w:val="24"/>
        </w:rPr>
        <w:t xml:space="preserve"> </w:t>
      </w:r>
      <w:r w:rsidR="00426A40" w:rsidRPr="00D55536">
        <w:rPr>
          <w:rFonts w:ascii="Garamond" w:hAnsi="Garamond" w:cs="Segoe UI"/>
          <w:i/>
          <w:iCs/>
          <w:sz w:val="24"/>
          <w:szCs w:val="24"/>
        </w:rPr>
        <w:t>Kedua</w:t>
      </w:r>
      <w:r w:rsidR="00426A40" w:rsidRPr="00D55536">
        <w:rPr>
          <w:rFonts w:ascii="Garamond" w:hAnsi="Garamond" w:cs="Segoe UI"/>
          <w:sz w:val="24"/>
          <w:szCs w:val="24"/>
        </w:rPr>
        <w:t xml:space="preserve">, Mahar </w:t>
      </w:r>
      <w:r w:rsidR="00426A40" w:rsidRPr="00B449DA">
        <w:rPr>
          <w:rFonts w:ascii="Garamond" w:hAnsi="Garamond" w:cs="Segoe UI"/>
          <w:i/>
          <w:iCs/>
          <w:sz w:val="24"/>
          <w:szCs w:val="24"/>
        </w:rPr>
        <w:t>Muaqqat</w:t>
      </w:r>
      <w:r w:rsidR="00426A40" w:rsidRPr="00D55536">
        <w:rPr>
          <w:rFonts w:ascii="Garamond" w:hAnsi="Garamond" w:cs="Segoe UI"/>
          <w:sz w:val="24"/>
          <w:szCs w:val="24"/>
        </w:rPr>
        <w:t xml:space="preserve">, yakni mahar yang </w:t>
      </w:r>
      <w:r w:rsidR="00B336B1" w:rsidRPr="00D55536">
        <w:rPr>
          <w:rFonts w:ascii="Garamond" w:hAnsi="Garamond" w:cs="Segoe UI"/>
          <w:sz w:val="24"/>
          <w:szCs w:val="24"/>
        </w:rPr>
        <w:t>ditunda pembayarannya hingga waktu yang telah disepakati oleh kedua belah pihak atau diatur oleh hukum tertentu. Pada saat yang telah ditentukan, mahar akan dibayarkan oleh suami kepada istri.</w:t>
      </w:r>
    </w:p>
    <w:p w14:paraId="00FFB9CE" w14:textId="307A1D61" w:rsidR="003B41E1" w:rsidRPr="00D55536" w:rsidRDefault="00426A40" w:rsidP="009C23C0">
      <w:pPr>
        <w:tabs>
          <w:tab w:val="left" w:pos="0"/>
        </w:tabs>
        <w:ind w:firstLine="0"/>
        <w:rPr>
          <w:rFonts w:ascii="Garamond" w:hAnsi="Garamond" w:cs="Segoe UI"/>
          <w:sz w:val="24"/>
          <w:szCs w:val="24"/>
        </w:rPr>
      </w:pPr>
      <w:r w:rsidRPr="00D55536">
        <w:rPr>
          <w:rFonts w:ascii="Garamond" w:hAnsi="Garamond" w:cs="Segoe UI"/>
          <w:sz w:val="24"/>
          <w:szCs w:val="24"/>
        </w:rPr>
        <w:tab/>
      </w:r>
      <w:r w:rsidRPr="00D55536">
        <w:rPr>
          <w:rFonts w:ascii="Garamond" w:hAnsi="Garamond" w:cs="Segoe UI"/>
          <w:i/>
          <w:iCs/>
          <w:sz w:val="24"/>
          <w:szCs w:val="24"/>
        </w:rPr>
        <w:t>Ketiga,</w:t>
      </w:r>
      <w:r w:rsidRPr="00D55536">
        <w:rPr>
          <w:rFonts w:ascii="Garamond" w:hAnsi="Garamond" w:cs="Segoe UI"/>
          <w:sz w:val="24"/>
          <w:szCs w:val="24"/>
        </w:rPr>
        <w:t xml:space="preserve"> Mahar </w:t>
      </w:r>
      <w:r w:rsidRPr="00B449DA">
        <w:rPr>
          <w:rFonts w:ascii="Garamond" w:hAnsi="Garamond" w:cs="Segoe UI"/>
          <w:i/>
          <w:iCs/>
          <w:sz w:val="24"/>
          <w:szCs w:val="24"/>
        </w:rPr>
        <w:t>Musamma,</w:t>
      </w:r>
      <w:r w:rsidRPr="00D55536">
        <w:rPr>
          <w:rFonts w:ascii="Garamond" w:hAnsi="Garamond" w:cs="Segoe UI"/>
          <w:sz w:val="24"/>
          <w:szCs w:val="24"/>
        </w:rPr>
        <w:t xml:space="preserve"> yakni </w:t>
      </w:r>
      <w:r w:rsidR="00B336B1" w:rsidRPr="00D55536">
        <w:rPr>
          <w:rFonts w:ascii="Garamond" w:hAnsi="Garamond" w:cs="Segoe UI"/>
          <w:sz w:val="24"/>
          <w:szCs w:val="24"/>
        </w:rPr>
        <w:t>Jumlah mahar dalam jenis ini telah ditentukan dengan jelas dalam perjanjian pernikahan sebelumnya atau dalam kesepakatan antara kedua belah pihak. Mahar ini harus dibayarkan sesuai dengan jumlah yang telah ditetapkan.</w:t>
      </w:r>
      <w:r w:rsidR="009C23C0" w:rsidRPr="00D55536">
        <w:rPr>
          <w:rFonts w:ascii="Garamond" w:hAnsi="Garamond" w:cs="Segoe UI"/>
          <w:sz w:val="24"/>
          <w:szCs w:val="24"/>
        </w:rPr>
        <w:t xml:space="preserve"> </w:t>
      </w:r>
      <w:r w:rsidR="003B41E1" w:rsidRPr="00D55536">
        <w:rPr>
          <w:rFonts w:ascii="Garamond" w:hAnsi="Garamond" w:cs="Segoe UI"/>
          <w:i/>
          <w:iCs/>
          <w:sz w:val="24"/>
          <w:szCs w:val="24"/>
        </w:rPr>
        <w:t>Keempat,</w:t>
      </w:r>
      <w:r w:rsidR="003B41E1" w:rsidRPr="00D55536">
        <w:rPr>
          <w:rFonts w:ascii="Garamond" w:hAnsi="Garamond" w:cs="Segoe UI"/>
          <w:sz w:val="24"/>
          <w:szCs w:val="24"/>
        </w:rPr>
        <w:t xml:space="preserve"> Mahar Mithl, yakni mahar yang </w:t>
      </w:r>
      <w:r w:rsidR="00B336B1" w:rsidRPr="00D55536">
        <w:rPr>
          <w:rFonts w:ascii="Garamond" w:hAnsi="Garamond" w:cs="Segoe UI"/>
          <w:sz w:val="24"/>
          <w:szCs w:val="24"/>
        </w:rPr>
        <w:t>ditentukan berdasarkan nilai atau harga yang sebanding dengan standar di masyarakat setempat. Ini dilakukan agar mahar tidak menjadi hambatan bagi calon suami yang ingin menikah.</w:t>
      </w:r>
    </w:p>
    <w:p w14:paraId="61274AE6" w14:textId="4DEE726E" w:rsidR="00B336B1" w:rsidRPr="00D55536" w:rsidRDefault="003B41E1" w:rsidP="009C23C0">
      <w:pPr>
        <w:tabs>
          <w:tab w:val="left" w:pos="0"/>
        </w:tabs>
        <w:ind w:firstLine="0"/>
        <w:rPr>
          <w:rFonts w:ascii="Garamond" w:hAnsi="Garamond" w:cs="Segoe UI"/>
          <w:sz w:val="24"/>
          <w:szCs w:val="24"/>
        </w:rPr>
      </w:pPr>
      <w:r w:rsidRPr="00D55536">
        <w:rPr>
          <w:rFonts w:ascii="Garamond" w:hAnsi="Garamond" w:cs="Segoe UI"/>
          <w:sz w:val="24"/>
          <w:szCs w:val="24"/>
        </w:rPr>
        <w:tab/>
      </w:r>
      <w:r w:rsidRPr="00D55536">
        <w:rPr>
          <w:rFonts w:ascii="Garamond" w:hAnsi="Garamond" w:cs="Segoe UI"/>
          <w:i/>
          <w:iCs/>
          <w:sz w:val="24"/>
          <w:szCs w:val="24"/>
        </w:rPr>
        <w:t>Kelima</w:t>
      </w:r>
      <w:r w:rsidRPr="00D55536">
        <w:rPr>
          <w:rFonts w:ascii="Garamond" w:hAnsi="Garamond" w:cs="Segoe UI"/>
          <w:sz w:val="24"/>
          <w:szCs w:val="24"/>
        </w:rPr>
        <w:t xml:space="preserve">, Mahar </w:t>
      </w:r>
      <w:r w:rsidRPr="00B449DA">
        <w:rPr>
          <w:rFonts w:ascii="Garamond" w:hAnsi="Garamond" w:cs="Segoe UI"/>
          <w:i/>
          <w:iCs/>
          <w:sz w:val="24"/>
          <w:szCs w:val="24"/>
        </w:rPr>
        <w:t>Shahih</w:t>
      </w:r>
      <w:r w:rsidRPr="00D55536">
        <w:rPr>
          <w:rFonts w:ascii="Garamond" w:hAnsi="Garamond" w:cs="Segoe UI"/>
          <w:sz w:val="24"/>
          <w:szCs w:val="24"/>
        </w:rPr>
        <w:t xml:space="preserve">, yakni </w:t>
      </w:r>
      <w:r w:rsidR="00B336B1" w:rsidRPr="00D55536">
        <w:rPr>
          <w:rFonts w:ascii="Garamond" w:hAnsi="Garamond" w:cs="Segoe UI"/>
          <w:sz w:val="24"/>
          <w:szCs w:val="24"/>
        </w:rPr>
        <w:t>mahar yang diterima oleh istri sebagai bagian dari perjanjian pernikahan, dan pernikahan dianggap sah sesuai dengan hukum Islam setelah mahar ini dibayarkan.</w:t>
      </w:r>
      <w:r w:rsidR="009C23C0" w:rsidRPr="00D55536">
        <w:rPr>
          <w:rFonts w:ascii="Garamond" w:hAnsi="Garamond" w:cs="Segoe UI"/>
          <w:sz w:val="24"/>
          <w:szCs w:val="24"/>
        </w:rPr>
        <w:t xml:space="preserve"> </w:t>
      </w:r>
      <w:r w:rsidR="009C23C0" w:rsidRPr="00D55536">
        <w:rPr>
          <w:rFonts w:ascii="Garamond" w:hAnsi="Garamond" w:cs="Segoe UI"/>
          <w:i/>
          <w:iCs/>
          <w:sz w:val="24"/>
          <w:szCs w:val="24"/>
        </w:rPr>
        <w:t>Keenam</w:t>
      </w:r>
      <w:r w:rsidR="009C23C0" w:rsidRPr="00D55536">
        <w:rPr>
          <w:rFonts w:ascii="Garamond" w:hAnsi="Garamond" w:cs="Segoe UI"/>
          <w:sz w:val="24"/>
          <w:szCs w:val="24"/>
        </w:rPr>
        <w:t xml:space="preserve"> ada Mahar Hibah, yakni m</w:t>
      </w:r>
      <w:r w:rsidR="00B336B1" w:rsidRPr="00D55536">
        <w:rPr>
          <w:rFonts w:ascii="Garamond" w:hAnsi="Garamond" w:cs="Segoe UI"/>
          <w:sz w:val="24"/>
          <w:szCs w:val="24"/>
        </w:rPr>
        <w:t xml:space="preserve">ahar </w:t>
      </w:r>
      <w:r w:rsidR="009C23C0" w:rsidRPr="00D55536">
        <w:rPr>
          <w:rFonts w:ascii="Garamond" w:hAnsi="Garamond" w:cs="Segoe UI"/>
          <w:sz w:val="24"/>
          <w:szCs w:val="24"/>
        </w:rPr>
        <w:t xml:space="preserve">yang </w:t>
      </w:r>
      <w:r w:rsidR="00B336B1" w:rsidRPr="00D55536">
        <w:rPr>
          <w:rFonts w:ascii="Garamond" w:hAnsi="Garamond" w:cs="Segoe UI"/>
          <w:sz w:val="24"/>
          <w:szCs w:val="24"/>
        </w:rPr>
        <w:t>diberikan sebagai pemberian sukarela oleh suami kepada istri, tanpa ada kewajiban hukum untuk melakukannya. Ini bisa menjadi tanda kasih sayang dan penghargaan lebih lanjut dari suami kepada istri.</w:t>
      </w:r>
      <w:r w:rsidR="009C23C0" w:rsidRPr="00D55536">
        <w:rPr>
          <w:rFonts w:ascii="Garamond" w:hAnsi="Garamond" w:cs="Segoe UI"/>
          <w:sz w:val="24"/>
          <w:szCs w:val="24"/>
        </w:rPr>
        <w:t xml:space="preserve"> Ketujuh ialah Mahar Wajib yang </w:t>
      </w:r>
      <w:r w:rsidR="00B336B1" w:rsidRPr="00D55536">
        <w:rPr>
          <w:rFonts w:ascii="Garamond" w:hAnsi="Garamond" w:cs="Segoe UI"/>
          <w:sz w:val="24"/>
          <w:szCs w:val="24"/>
        </w:rPr>
        <w:t>merupakan bagian yang diwajibkan oleh hukum Islam. Dalam beberapa kasus, ada jumlah minimum yang harus dibayarkan sebagai mahar untuk memastikan pernikahan sah menurut ajaran Islam.</w:t>
      </w:r>
    </w:p>
    <w:p w14:paraId="3435CB12" w14:textId="77777777" w:rsidR="009C23C0" w:rsidRPr="00D55536" w:rsidRDefault="009C23C0" w:rsidP="009C23C0">
      <w:pPr>
        <w:tabs>
          <w:tab w:val="left" w:pos="0"/>
        </w:tabs>
        <w:ind w:firstLine="0"/>
        <w:rPr>
          <w:rFonts w:ascii="Garamond" w:hAnsi="Garamond" w:cs="Segoe UI"/>
          <w:sz w:val="24"/>
          <w:szCs w:val="24"/>
        </w:rPr>
      </w:pPr>
      <w:r w:rsidRPr="00D55536">
        <w:rPr>
          <w:rFonts w:ascii="Garamond" w:hAnsi="Garamond" w:cs="Segoe UI"/>
          <w:sz w:val="24"/>
          <w:szCs w:val="24"/>
        </w:rPr>
        <w:tab/>
        <w:t>Kemudian</w:t>
      </w:r>
      <w:r w:rsidRPr="00D55536">
        <w:rPr>
          <w:rFonts w:ascii="Garamond" w:hAnsi="Garamond" w:cs="Segoe UI"/>
          <w:i/>
          <w:iCs/>
          <w:sz w:val="24"/>
          <w:szCs w:val="24"/>
        </w:rPr>
        <w:t xml:space="preserve"> kedelapan</w:t>
      </w:r>
      <w:r w:rsidRPr="00D55536">
        <w:rPr>
          <w:rFonts w:ascii="Garamond" w:hAnsi="Garamond" w:cs="Segoe UI"/>
          <w:sz w:val="24"/>
          <w:szCs w:val="24"/>
        </w:rPr>
        <w:t xml:space="preserve"> ada Mahar Khiyar yakni mahar yang </w:t>
      </w:r>
      <w:r w:rsidR="00B336B1" w:rsidRPr="00D55536">
        <w:rPr>
          <w:rFonts w:ascii="Garamond" w:hAnsi="Garamond" w:cs="Segoe UI"/>
          <w:sz w:val="24"/>
          <w:szCs w:val="24"/>
        </w:rPr>
        <w:t>memberikan opsi kepada istri untuk memilih antara menerima mahar dalam bentuk tertentu atau mengambil nilai mahar dalam bentuk lain yang lebih sesuai dengan kebutuhan dan situasi</w:t>
      </w:r>
      <w:r w:rsidRPr="00D55536">
        <w:rPr>
          <w:rFonts w:ascii="Garamond" w:hAnsi="Garamond" w:cs="Segoe UI"/>
          <w:sz w:val="24"/>
          <w:szCs w:val="24"/>
        </w:rPr>
        <w:t xml:space="preserve"> dan terkahir ada Mahar Syarat, yakni m</w:t>
      </w:r>
      <w:r w:rsidR="00B336B1" w:rsidRPr="00D55536">
        <w:rPr>
          <w:rFonts w:ascii="Garamond" w:hAnsi="Garamond" w:cs="Segoe UI"/>
          <w:sz w:val="24"/>
          <w:szCs w:val="24"/>
        </w:rPr>
        <w:t xml:space="preserve">ahar </w:t>
      </w:r>
      <w:r w:rsidRPr="00D55536">
        <w:rPr>
          <w:rFonts w:ascii="Garamond" w:hAnsi="Garamond" w:cs="Segoe UI"/>
          <w:sz w:val="24"/>
          <w:szCs w:val="24"/>
        </w:rPr>
        <w:t xml:space="preserve">yang </w:t>
      </w:r>
      <w:r w:rsidR="00B336B1" w:rsidRPr="00D55536">
        <w:rPr>
          <w:rFonts w:ascii="Garamond" w:hAnsi="Garamond" w:cs="Segoe UI"/>
          <w:sz w:val="24"/>
          <w:szCs w:val="24"/>
        </w:rPr>
        <w:t>memiliki syarat-syarat khusus yang harus dipenuhi oleh suami sebelum istri menerimanya. Syarat-syarat ini dapat beragam, seperti melakukan perjalanan bersama, memberikan hadiah tertentu, atau melakukan tindakan khusus.</w:t>
      </w:r>
    </w:p>
    <w:p w14:paraId="03064990" w14:textId="62F4A947" w:rsidR="00B336B1" w:rsidRPr="00D55536" w:rsidRDefault="009C23C0" w:rsidP="009C23C0">
      <w:pPr>
        <w:tabs>
          <w:tab w:val="left" w:pos="0"/>
        </w:tabs>
        <w:ind w:firstLine="0"/>
        <w:rPr>
          <w:rFonts w:ascii="Garamond" w:hAnsi="Garamond" w:cs="Segoe UI"/>
          <w:sz w:val="24"/>
          <w:szCs w:val="24"/>
        </w:rPr>
      </w:pPr>
      <w:r w:rsidRPr="00D55536">
        <w:rPr>
          <w:rFonts w:ascii="Garamond" w:hAnsi="Garamond" w:cs="Segoe UI"/>
          <w:sz w:val="24"/>
          <w:szCs w:val="24"/>
        </w:rPr>
        <w:tab/>
      </w:r>
      <w:r w:rsidR="00B336B1" w:rsidRPr="00D55536">
        <w:rPr>
          <w:rFonts w:ascii="Garamond" w:hAnsi="Garamond" w:cs="Segoe UI"/>
          <w:sz w:val="24"/>
          <w:szCs w:val="24"/>
        </w:rPr>
        <w:t>Setiap jenis mahar memiliki implikasi dan peran masing-masing dalam konteks pernikahan dalam hukum Islam. Penting untuk memahami makna dan prinsip di balik mahar serta memastikan bahwa pernikahan didasarkan pada saling penghormatan, kesepakatan, dan komitmen antara kedua belah pihak.</w:t>
      </w:r>
    </w:p>
    <w:p w14:paraId="466C3EA5" w14:textId="77777777" w:rsidR="004E41A4" w:rsidRDefault="004E41A4" w:rsidP="00843A8F">
      <w:pPr>
        <w:tabs>
          <w:tab w:val="left" w:pos="0"/>
        </w:tabs>
        <w:ind w:firstLine="0"/>
        <w:rPr>
          <w:rFonts w:ascii="Garamond" w:hAnsi="Garamond"/>
          <w:b/>
          <w:bCs/>
          <w:sz w:val="24"/>
          <w:szCs w:val="24"/>
          <w:lang w:val="en-AU"/>
        </w:rPr>
      </w:pPr>
    </w:p>
    <w:p w14:paraId="05F583C0" w14:textId="18B51158" w:rsidR="00D55536" w:rsidRDefault="00843A8F" w:rsidP="00D55536">
      <w:pPr>
        <w:tabs>
          <w:tab w:val="left" w:pos="0"/>
        </w:tabs>
        <w:ind w:firstLine="0"/>
        <w:rPr>
          <w:rFonts w:ascii="Garamond" w:hAnsi="Garamond"/>
          <w:b/>
          <w:bCs/>
          <w:sz w:val="24"/>
          <w:szCs w:val="24"/>
          <w:lang w:val="en-AU"/>
        </w:rPr>
      </w:pPr>
      <w:r w:rsidRPr="00843A8F">
        <w:rPr>
          <w:rFonts w:ascii="Garamond" w:hAnsi="Garamond"/>
          <w:b/>
          <w:bCs/>
          <w:sz w:val="24"/>
          <w:szCs w:val="24"/>
          <w:lang w:val="en-AU"/>
        </w:rPr>
        <w:t xml:space="preserve">Konsep </w:t>
      </w:r>
      <w:r w:rsidRPr="00843A8F">
        <w:rPr>
          <w:rFonts w:ascii="Garamond" w:hAnsi="Garamond"/>
          <w:b/>
          <w:bCs/>
          <w:i/>
          <w:iCs/>
          <w:sz w:val="24"/>
          <w:szCs w:val="24"/>
          <w:lang w:val="en-AU"/>
        </w:rPr>
        <w:t>Maqashid a</w:t>
      </w:r>
      <w:r w:rsidR="00231206">
        <w:rPr>
          <w:rFonts w:ascii="Garamond" w:hAnsi="Garamond"/>
          <w:b/>
          <w:bCs/>
          <w:i/>
          <w:iCs/>
          <w:sz w:val="24"/>
          <w:szCs w:val="24"/>
          <w:lang w:val="en-AU"/>
        </w:rPr>
        <w:t>l</w:t>
      </w:r>
      <w:r w:rsidRPr="00843A8F">
        <w:rPr>
          <w:rFonts w:ascii="Garamond" w:hAnsi="Garamond"/>
          <w:b/>
          <w:bCs/>
          <w:i/>
          <w:iCs/>
          <w:sz w:val="24"/>
          <w:szCs w:val="24"/>
          <w:lang w:val="en-AU"/>
        </w:rPr>
        <w:t>-S</w:t>
      </w:r>
      <w:r w:rsidR="00231206">
        <w:rPr>
          <w:rFonts w:ascii="Garamond" w:hAnsi="Garamond"/>
          <w:b/>
          <w:bCs/>
          <w:i/>
          <w:iCs/>
          <w:sz w:val="24"/>
          <w:szCs w:val="24"/>
          <w:lang w:val="en-AU"/>
        </w:rPr>
        <w:t>y</w:t>
      </w:r>
      <w:r w:rsidRPr="00843A8F">
        <w:rPr>
          <w:rFonts w:ascii="Garamond" w:hAnsi="Garamond"/>
          <w:b/>
          <w:bCs/>
          <w:i/>
          <w:iCs/>
          <w:sz w:val="24"/>
          <w:szCs w:val="24"/>
          <w:lang w:val="en-AU"/>
        </w:rPr>
        <w:t>ariah</w:t>
      </w:r>
      <w:r w:rsidRPr="00843A8F">
        <w:rPr>
          <w:rFonts w:ascii="Garamond" w:hAnsi="Garamond"/>
          <w:b/>
          <w:bCs/>
          <w:sz w:val="24"/>
          <w:szCs w:val="24"/>
          <w:lang w:val="en-AU"/>
        </w:rPr>
        <w:t xml:space="preserve"> Terhadap Hafalan Ayat al-Qur’an sebagai Mahar Perkawinan</w:t>
      </w:r>
    </w:p>
    <w:p w14:paraId="2FD1909A" w14:textId="77777777" w:rsidR="00E935BD" w:rsidRDefault="00D55536" w:rsidP="00E935BD">
      <w:pPr>
        <w:tabs>
          <w:tab w:val="left" w:pos="0"/>
        </w:tabs>
        <w:ind w:firstLine="0"/>
        <w:rPr>
          <w:rFonts w:ascii="Garamond" w:hAnsi="Garamond" w:cs="Segoe UI"/>
          <w:sz w:val="24"/>
          <w:szCs w:val="24"/>
        </w:rPr>
      </w:pPr>
      <w:r w:rsidRPr="00D55536">
        <w:rPr>
          <w:rFonts w:ascii="Garamond" w:hAnsi="Garamond"/>
          <w:b/>
          <w:bCs/>
          <w:sz w:val="24"/>
          <w:szCs w:val="24"/>
          <w:lang w:val="en-AU"/>
        </w:rPr>
        <w:tab/>
      </w:r>
      <w:r w:rsidRPr="00D55536">
        <w:rPr>
          <w:rFonts w:ascii="Garamond" w:hAnsi="Garamond" w:cs="Segoe UI"/>
          <w:sz w:val="24"/>
          <w:szCs w:val="24"/>
        </w:rPr>
        <w:t>Maqashid al-S</w:t>
      </w:r>
      <w:r w:rsidR="00231206">
        <w:rPr>
          <w:rFonts w:ascii="Garamond" w:hAnsi="Garamond" w:cs="Segoe UI"/>
          <w:sz w:val="24"/>
          <w:szCs w:val="24"/>
        </w:rPr>
        <w:t>y</w:t>
      </w:r>
      <w:r w:rsidRPr="00D55536">
        <w:rPr>
          <w:rFonts w:ascii="Garamond" w:hAnsi="Garamond" w:cs="Segoe UI"/>
          <w:sz w:val="24"/>
          <w:szCs w:val="24"/>
        </w:rPr>
        <w:t>ariah, atau tujuan-tujuan hukum Islam, adalah konsep yang merujuk kepada prinsip-prinsip atau maksud-maksud yang lebih luas yang menjadi dasar bagi pembentukan hukum Islam. Konsep ini menekankan pentingnya memahami tujuan-tujuan atau maksud-maksud yang lebih tinggi dari hukum Islam daripada hanya fokus pada aspek teknis atau hukum formal semata.</w:t>
      </w:r>
    </w:p>
    <w:p w14:paraId="1E1E995C" w14:textId="660470E8" w:rsidR="00E935BD" w:rsidRPr="00E935BD" w:rsidRDefault="00E935BD" w:rsidP="00E935BD">
      <w:pPr>
        <w:tabs>
          <w:tab w:val="left" w:pos="0"/>
        </w:tabs>
        <w:ind w:firstLine="0"/>
        <w:rPr>
          <w:rFonts w:ascii="Garamond" w:hAnsi="Garamond" w:cs="Segoe UI"/>
          <w:sz w:val="24"/>
          <w:szCs w:val="24"/>
        </w:rPr>
      </w:pPr>
      <w:r>
        <w:rPr>
          <w:rFonts w:ascii="Garamond" w:hAnsi="Garamond" w:cs="Segoe UI"/>
          <w:sz w:val="24"/>
          <w:szCs w:val="24"/>
        </w:rPr>
        <w:tab/>
      </w:r>
      <w:r w:rsidRPr="00E935BD">
        <w:rPr>
          <w:rFonts w:ascii="Garamond" w:hAnsi="Garamond" w:cs="Segoe UI"/>
          <w:sz w:val="24"/>
          <w:szCs w:val="24"/>
        </w:rPr>
        <w:t>Maqashid merujuk pada semua makna yang dapat ditemukan dalam</w:t>
      </w:r>
      <w:r w:rsidRPr="00E935BD">
        <w:rPr>
          <w:rFonts w:ascii="Garamond" w:hAnsi="Garamond" w:cs="Segoe UI"/>
          <w:sz w:val="24"/>
          <w:szCs w:val="24"/>
          <w:shd w:val="clear" w:color="auto" w:fill="F7F7F8"/>
        </w:rPr>
        <w:t xml:space="preserve"> </w:t>
      </w:r>
      <w:r w:rsidRPr="00E935BD">
        <w:rPr>
          <w:rFonts w:ascii="Garamond" w:hAnsi="Garamond" w:cs="Segoe UI"/>
          <w:sz w:val="24"/>
          <w:szCs w:val="24"/>
        </w:rPr>
        <w:t>hukum-hukum yang telah ditetapkan, baik dalam skala keseluruhan maupun</w:t>
      </w:r>
      <w:r w:rsidRPr="00E935BD">
        <w:rPr>
          <w:rFonts w:ascii="Garamond" w:hAnsi="Garamond" w:cs="Segoe UI"/>
          <w:sz w:val="24"/>
          <w:szCs w:val="24"/>
          <w:shd w:val="clear" w:color="auto" w:fill="F7F7F8"/>
        </w:rPr>
        <w:t xml:space="preserve"> </w:t>
      </w:r>
      <w:r w:rsidRPr="00E935BD">
        <w:rPr>
          <w:rFonts w:ascii="Garamond" w:hAnsi="Garamond" w:cs="Segoe UI"/>
          <w:sz w:val="24"/>
          <w:szCs w:val="24"/>
        </w:rPr>
        <w:t>sebagian. Menurut pandangan ini, maqashid terdiri dari dua jenis, yaitu</w:t>
      </w:r>
      <w:r w:rsidRPr="00E935BD">
        <w:rPr>
          <w:rFonts w:ascii="Garamond" w:hAnsi="Garamond" w:cs="Segoe UI"/>
          <w:sz w:val="24"/>
          <w:szCs w:val="24"/>
          <w:shd w:val="clear" w:color="auto" w:fill="F7F7F8"/>
        </w:rPr>
        <w:t xml:space="preserve"> </w:t>
      </w:r>
      <w:r w:rsidRPr="00E935BD">
        <w:rPr>
          <w:rFonts w:ascii="Garamond" w:hAnsi="Garamond" w:cs="Segoe UI"/>
          <w:sz w:val="24"/>
          <w:szCs w:val="24"/>
        </w:rPr>
        <w:t>maqashid umum dan maqashid khusus. Maqashid umum dapat ditemukan</w:t>
      </w:r>
      <w:r w:rsidRPr="00E935BD">
        <w:rPr>
          <w:rFonts w:ascii="Garamond" w:hAnsi="Garamond" w:cs="Segoe UI"/>
          <w:sz w:val="24"/>
          <w:szCs w:val="24"/>
          <w:shd w:val="clear" w:color="auto" w:fill="F7F7F8"/>
        </w:rPr>
        <w:t xml:space="preserve"> </w:t>
      </w:r>
      <w:r w:rsidRPr="00E935BD">
        <w:rPr>
          <w:rFonts w:ascii="Garamond" w:hAnsi="Garamond" w:cs="Segoe UI"/>
          <w:sz w:val="24"/>
          <w:szCs w:val="24"/>
        </w:rPr>
        <w:t>dalam hukum-hukum yang berlaku bagi seluruh individu secara umum.</w:t>
      </w:r>
      <w:r w:rsidRPr="00E935BD">
        <w:rPr>
          <w:rFonts w:ascii="Garamond" w:hAnsi="Garamond" w:cs="Segoe UI"/>
          <w:sz w:val="24"/>
          <w:szCs w:val="24"/>
          <w:shd w:val="clear" w:color="auto" w:fill="F7F7F8"/>
        </w:rPr>
        <w:t xml:space="preserve"> </w:t>
      </w:r>
      <w:r w:rsidRPr="00E935BD">
        <w:rPr>
          <w:rFonts w:ascii="Garamond" w:hAnsi="Garamond" w:cs="Segoe UI"/>
          <w:sz w:val="24"/>
          <w:szCs w:val="24"/>
        </w:rPr>
        <w:t>Sementara itu, maqashid khusus merupakan cara di mana syariat digunakan</w:t>
      </w:r>
      <w:r w:rsidRPr="00E935BD">
        <w:rPr>
          <w:rFonts w:ascii="Garamond" w:hAnsi="Garamond" w:cs="Segoe UI"/>
          <w:sz w:val="24"/>
          <w:szCs w:val="24"/>
          <w:shd w:val="clear" w:color="auto" w:fill="F7F7F8"/>
        </w:rPr>
        <w:t xml:space="preserve"> </w:t>
      </w:r>
      <w:r w:rsidRPr="00E935BD">
        <w:rPr>
          <w:rFonts w:ascii="Garamond" w:hAnsi="Garamond" w:cs="Segoe UI"/>
          <w:sz w:val="24"/>
          <w:szCs w:val="24"/>
        </w:rPr>
        <w:t>untuk mewujudkan kepentingan umum melalui tindakan individu.</w:t>
      </w:r>
      <w:r>
        <w:rPr>
          <w:rStyle w:val="FootnoteReference"/>
          <w:rFonts w:ascii="Garamond" w:hAnsi="Garamond"/>
          <w:sz w:val="24"/>
          <w:szCs w:val="24"/>
        </w:rPr>
        <w:footnoteReference w:id="19"/>
      </w:r>
    </w:p>
    <w:p w14:paraId="7DDF7F5F" w14:textId="19369E62" w:rsidR="00D55536" w:rsidRPr="00D55536" w:rsidRDefault="00D55536" w:rsidP="00D55536">
      <w:pPr>
        <w:tabs>
          <w:tab w:val="left" w:pos="0"/>
        </w:tabs>
        <w:ind w:firstLine="0"/>
        <w:rPr>
          <w:rFonts w:ascii="Garamond" w:hAnsi="Garamond" w:cs="Segoe UI"/>
          <w:sz w:val="24"/>
          <w:szCs w:val="24"/>
        </w:rPr>
      </w:pPr>
      <w:r w:rsidRPr="00D55536">
        <w:rPr>
          <w:rFonts w:ascii="Garamond" w:hAnsi="Garamond" w:cs="Segoe UI"/>
          <w:sz w:val="24"/>
          <w:szCs w:val="24"/>
        </w:rPr>
        <w:tab/>
        <w:t>Dalam konteks Maqashid al-S</w:t>
      </w:r>
      <w:r w:rsidR="00231206">
        <w:rPr>
          <w:rFonts w:ascii="Garamond" w:hAnsi="Garamond" w:cs="Segoe UI"/>
          <w:sz w:val="24"/>
          <w:szCs w:val="24"/>
        </w:rPr>
        <w:t>y</w:t>
      </w:r>
      <w:r w:rsidRPr="00D55536">
        <w:rPr>
          <w:rFonts w:ascii="Garamond" w:hAnsi="Garamond" w:cs="Segoe UI"/>
          <w:sz w:val="24"/>
          <w:szCs w:val="24"/>
        </w:rPr>
        <w:t>ariah, hukum Islam dilihat sebagai alat untuk mencapai kesejahteraan umat manusia dan melindungi nilai-nilai fundamental, termasuk kehidupan, akal, agama, keturunan, dan harta benda. Konsep ini membantu mengarahkan penerapan hukum Islam secara kontekstual dan relevan sesuai dengan perubahan zaman dan kebutuhan masyarakat.</w:t>
      </w:r>
    </w:p>
    <w:p w14:paraId="4B5EA9FB" w14:textId="05879294" w:rsidR="00D55536" w:rsidRPr="00D55536" w:rsidRDefault="00D55536" w:rsidP="00D55536">
      <w:pPr>
        <w:tabs>
          <w:tab w:val="left" w:pos="0"/>
        </w:tabs>
        <w:ind w:firstLine="0"/>
        <w:rPr>
          <w:rFonts w:ascii="Garamond" w:hAnsi="Garamond" w:cs="Segoe UI"/>
          <w:sz w:val="24"/>
          <w:szCs w:val="24"/>
        </w:rPr>
      </w:pPr>
      <w:r w:rsidRPr="00D55536">
        <w:rPr>
          <w:rFonts w:ascii="Garamond" w:hAnsi="Garamond" w:cs="Segoe UI"/>
          <w:sz w:val="24"/>
          <w:szCs w:val="24"/>
        </w:rPr>
        <w:tab/>
        <w:t xml:space="preserve">Pemahaman Maqashid al-Shariah memainkan peran penting dalam menghindari ekstremisme, penyalahgunaan hukum, dan ketidakadilan dalam menerapkan ajaran Islam. Beberapa contoh aplikasi </w:t>
      </w:r>
      <w:r w:rsidRPr="00231206">
        <w:rPr>
          <w:rFonts w:ascii="Garamond" w:hAnsi="Garamond" w:cs="Segoe UI"/>
          <w:i/>
          <w:iCs/>
          <w:sz w:val="24"/>
          <w:szCs w:val="24"/>
        </w:rPr>
        <w:t>Maqashid al-S</w:t>
      </w:r>
      <w:r w:rsidR="00231206">
        <w:rPr>
          <w:rFonts w:ascii="Garamond" w:hAnsi="Garamond" w:cs="Segoe UI"/>
          <w:i/>
          <w:iCs/>
          <w:sz w:val="24"/>
          <w:szCs w:val="24"/>
        </w:rPr>
        <w:t>y</w:t>
      </w:r>
      <w:r w:rsidRPr="00231206">
        <w:rPr>
          <w:rFonts w:ascii="Garamond" w:hAnsi="Garamond" w:cs="Segoe UI"/>
          <w:i/>
          <w:iCs/>
          <w:sz w:val="24"/>
          <w:szCs w:val="24"/>
        </w:rPr>
        <w:t>ariah</w:t>
      </w:r>
      <w:r w:rsidRPr="00D55536">
        <w:rPr>
          <w:rFonts w:ascii="Garamond" w:hAnsi="Garamond" w:cs="Segoe UI"/>
          <w:sz w:val="24"/>
          <w:szCs w:val="24"/>
        </w:rPr>
        <w:t xml:space="preserve"> termasuk perumusan hukum yang mendukung kesejahteraan masyarakat, perlindungan hak-hak individu, dan promosi nilai-nilai etika dan moral dalam masyarakat.</w:t>
      </w:r>
    </w:p>
    <w:p w14:paraId="553114B9" w14:textId="63F75C0E" w:rsidR="00D55536" w:rsidRPr="006D21C5" w:rsidRDefault="00D55536" w:rsidP="00EF6F46">
      <w:pPr>
        <w:tabs>
          <w:tab w:val="left" w:pos="0"/>
        </w:tabs>
        <w:ind w:firstLine="0"/>
        <w:rPr>
          <w:rFonts w:ascii="Garamond" w:hAnsi="Garamond" w:cs="Segoe UI"/>
          <w:color w:val="C00000"/>
          <w:sz w:val="24"/>
          <w:szCs w:val="24"/>
          <w:lang w:val="id-ID"/>
        </w:rPr>
      </w:pPr>
      <w:r w:rsidRPr="00D55536">
        <w:rPr>
          <w:rFonts w:ascii="Garamond" w:hAnsi="Garamond" w:cs="Segoe UI"/>
          <w:sz w:val="24"/>
          <w:szCs w:val="24"/>
        </w:rPr>
        <w:tab/>
        <w:t>Maqashid al-Shariah adalah konsep dalam hukum Islam yang merujuk kepada tujuan-tujuan atau maksud-maksud dari syariah. Konsep ini bertujuan untuk menjaga kesejahteraan dan kepentingan umat manusia. Terdapat lima maqashid utama dalam hukum Islam, yaitu:</w:t>
      </w:r>
      <w:r w:rsidR="006D21C5" w:rsidRPr="006D21C5">
        <w:rPr>
          <w:rFonts w:ascii="Garamond" w:hAnsi="Garamond" w:cs="Segoe UI"/>
          <w:color w:val="C00000"/>
          <w:sz w:val="24"/>
          <w:szCs w:val="24"/>
          <w:lang w:val="id-ID"/>
        </w:rPr>
        <w:t xml:space="preserve"> </w:t>
      </w:r>
    </w:p>
    <w:p w14:paraId="30667FFE" w14:textId="77777777" w:rsidR="00D55536" w:rsidRPr="00D55536" w:rsidRDefault="00D55536" w:rsidP="00D55536">
      <w:pPr>
        <w:pStyle w:val="ListParagraph"/>
        <w:numPr>
          <w:ilvl w:val="0"/>
          <w:numId w:val="19"/>
        </w:numPr>
        <w:tabs>
          <w:tab w:val="left" w:pos="0"/>
        </w:tabs>
        <w:spacing w:line="276" w:lineRule="auto"/>
        <w:rPr>
          <w:rFonts w:ascii="Garamond" w:hAnsi="Garamond"/>
          <w:b/>
          <w:bCs/>
          <w:szCs w:val="24"/>
          <w:lang w:val="en-AU"/>
        </w:rPr>
      </w:pPr>
      <w:r w:rsidRPr="00D55536">
        <w:rPr>
          <w:rFonts w:ascii="Garamond" w:hAnsi="Garamond" w:cs="Segoe UI"/>
          <w:szCs w:val="24"/>
        </w:rPr>
        <w:t>Hifz al-Nafs (Perlindungan Jiwa): Melindungi jiwa manusia dari bahaya dan ancaman. Ini mencakup segala tindakan yang dapat membahayakan nyawa, seperti pembunuhan, kekerasan, dan perilaku yang membahayakan kesehatan.</w:t>
      </w:r>
    </w:p>
    <w:p w14:paraId="5C947018" w14:textId="77777777" w:rsidR="00D55536" w:rsidRPr="00D55536" w:rsidRDefault="00D55536" w:rsidP="00D55536">
      <w:pPr>
        <w:pStyle w:val="ListParagraph"/>
        <w:numPr>
          <w:ilvl w:val="0"/>
          <w:numId w:val="19"/>
        </w:numPr>
        <w:tabs>
          <w:tab w:val="left" w:pos="0"/>
        </w:tabs>
        <w:spacing w:line="276" w:lineRule="auto"/>
        <w:rPr>
          <w:rFonts w:ascii="Garamond" w:hAnsi="Garamond"/>
          <w:b/>
          <w:bCs/>
          <w:szCs w:val="24"/>
          <w:lang w:val="en-AU"/>
        </w:rPr>
      </w:pPr>
      <w:r w:rsidRPr="00D55536">
        <w:rPr>
          <w:rFonts w:ascii="Garamond" w:hAnsi="Garamond" w:cs="Segoe UI"/>
          <w:szCs w:val="24"/>
        </w:rPr>
        <w:t>Hifz al-Aql (Perlindungan Akal): Melindungi akal manusia dari hal-hal yang dapat merusaknya, seperti penyalahgunaan narkoba, minuman beralkohol, dan perilaku yang merugikan kapasitas berpikir.</w:t>
      </w:r>
    </w:p>
    <w:p w14:paraId="4A60055E" w14:textId="77777777" w:rsidR="00D55536" w:rsidRPr="00D55536" w:rsidRDefault="00D55536" w:rsidP="00D55536">
      <w:pPr>
        <w:pStyle w:val="ListParagraph"/>
        <w:numPr>
          <w:ilvl w:val="0"/>
          <w:numId w:val="19"/>
        </w:numPr>
        <w:tabs>
          <w:tab w:val="left" w:pos="0"/>
        </w:tabs>
        <w:spacing w:line="276" w:lineRule="auto"/>
        <w:rPr>
          <w:rFonts w:ascii="Garamond" w:hAnsi="Garamond"/>
          <w:b/>
          <w:bCs/>
          <w:szCs w:val="24"/>
          <w:lang w:val="en-AU"/>
        </w:rPr>
      </w:pPr>
      <w:r w:rsidRPr="00D55536">
        <w:rPr>
          <w:rFonts w:ascii="Garamond" w:hAnsi="Garamond" w:cs="Segoe UI"/>
          <w:szCs w:val="24"/>
        </w:rPr>
        <w:t>Hifz al-Nasl (Perlindungan Keturunan): Menjaga kelangsungan generasi manusia dan memastikan kelahiran, pendidikan, dan kesejahteraan anak-anak.</w:t>
      </w:r>
    </w:p>
    <w:p w14:paraId="0B0E7D60" w14:textId="77777777" w:rsidR="00D55536" w:rsidRPr="00D55536" w:rsidRDefault="00D55536" w:rsidP="00D55536">
      <w:pPr>
        <w:pStyle w:val="ListParagraph"/>
        <w:numPr>
          <w:ilvl w:val="0"/>
          <w:numId w:val="19"/>
        </w:numPr>
        <w:tabs>
          <w:tab w:val="left" w:pos="0"/>
        </w:tabs>
        <w:spacing w:line="276" w:lineRule="auto"/>
        <w:rPr>
          <w:rFonts w:ascii="Garamond" w:hAnsi="Garamond"/>
          <w:b/>
          <w:bCs/>
          <w:szCs w:val="24"/>
          <w:lang w:val="en-AU"/>
        </w:rPr>
      </w:pPr>
      <w:r w:rsidRPr="00D55536">
        <w:rPr>
          <w:rFonts w:ascii="Garamond" w:hAnsi="Garamond" w:cs="Segoe UI"/>
          <w:szCs w:val="24"/>
        </w:rPr>
        <w:t>Hifz al-Mal (Perlindungan Harta): Melindungi harta benda dan aset manusia dari pencurian, penipuan, dan perilaku ekonomi yang tidak etis.</w:t>
      </w:r>
    </w:p>
    <w:p w14:paraId="522745FC" w14:textId="77777777" w:rsidR="00D55536" w:rsidRPr="00D55536" w:rsidRDefault="00D55536" w:rsidP="00D55536">
      <w:pPr>
        <w:pStyle w:val="ListParagraph"/>
        <w:numPr>
          <w:ilvl w:val="0"/>
          <w:numId w:val="19"/>
        </w:numPr>
        <w:tabs>
          <w:tab w:val="left" w:pos="0"/>
        </w:tabs>
        <w:spacing w:line="276" w:lineRule="auto"/>
        <w:rPr>
          <w:rFonts w:ascii="Garamond" w:hAnsi="Garamond"/>
          <w:b/>
          <w:bCs/>
          <w:szCs w:val="24"/>
          <w:lang w:val="en-AU"/>
        </w:rPr>
      </w:pPr>
      <w:r w:rsidRPr="00D55536">
        <w:rPr>
          <w:rFonts w:ascii="Garamond" w:hAnsi="Garamond" w:cs="Segoe UI"/>
          <w:szCs w:val="24"/>
        </w:rPr>
        <w:t>Hifz al-Din (Perlindungan Agama): Menjaga kebebasan beragama dan hak untuk beribadah tanpa gangguan.</w:t>
      </w:r>
    </w:p>
    <w:p w14:paraId="6B6AB0B4" w14:textId="77777777" w:rsidR="00EF6F46" w:rsidRDefault="00EF6F46" w:rsidP="00D55536">
      <w:pPr>
        <w:tabs>
          <w:tab w:val="left" w:pos="0"/>
        </w:tabs>
        <w:rPr>
          <w:rFonts w:ascii="Garamond" w:hAnsi="Garamond" w:cs="Segoe UI"/>
          <w:sz w:val="24"/>
          <w:szCs w:val="24"/>
        </w:rPr>
      </w:pPr>
      <w:bookmarkStart w:id="3" w:name="_Hlk142896488"/>
    </w:p>
    <w:p w14:paraId="56D93E8A" w14:textId="272F9C5D" w:rsidR="00C50B53" w:rsidRPr="00EF6F46" w:rsidRDefault="00EF6F46" w:rsidP="00EF6F46">
      <w:pPr>
        <w:tabs>
          <w:tab w:val="left" w:pos="0"/>
        </w:tabs>
        <w:rPr>
          <w:rFonts w:ascii="Garamond" w:hAnsi="Garamond" w:cs="Segoe UI"/>
          <w:sz w:val="24"/>
          <w:szCs w:val="24"/>
          <w:lang w:val="id-ID"/>
        </w:rPr>
      </w:pPr>
      <w:r w:rsidRPr="00EF6F46">
        <w:rPr>
          <w:rFonts w:ascii="Garamond" w:hAnsi="Garamond" w:cs="Segoe UI"/>
          <w:sz w:val="24"/>
          <w:szCs w:val="24"/>
        </w:rPr>
        <w:t xml:space="preserve">Hukum sahnya mahar hafalan al-Qur'an tergantung pada apakah mahar tersebut mencakup pengajaran al-Qur'an, bukan hanya membacakan ayat-ayat al-Qur'an dalam akad nikah. Di Indonesia, belum ada peraturan yang secara rinci mengatur hukum mahar hafalan al-Qur'an menurut Undang-Undang. </w:t>
      </w:r>
      <w:r>
        <w:rPr>
          <w:rFonts w:ascii="Garamond" w:hAnsi="Garamond" w:cs="Segoe UI"/>
          <w:sz w:val="24"/>
          <w:szCs w:val="24"/>
        </w:rPr>
        <w:t>Kemudian d</w:t>
      </w:r>
      <w:r w:rsidR="00D55536" w:rsidRPr="00D55536">
        <w:rPr>
          <w:rFonts w:ascii="Garamond" w:hAnsi="Garamond" w:cs="Segoe UI"/>
          <w:sz w:val="24"/>
          <w:szCs w:val="24"/>
        </w:rPr>
        <w:t>alam konteks hafalan ayat al-Qur'an sebagai mahar perkawinan, konsep Maqashid al-Shariah dapat diaplikasikan sebagai berikut:</w:t>
      </w:r>
      <w:r w:rsidR="00C50B53">
        <w:rPr>
          <w:rFonts w:ascii="Garamond" w:hAnsi="Garamond" w:cs="Segoe UI"/>
          <w:sz w:val="24"/>
          <w:szCs w:val="24"/>
          <w:lang w:val="id-ID"/>
        </w:rPr>
        <w:t xml:space="preserve"> </w:t>
      </w:r>
    </w:p>
    <w:p w14:paraId="4A0723ED" w14:textId="70C5D2CB" w:rsidR="00A5398C" w:rsidRPr="00EF6F46" w:rsidRDefault="00A5398C" w:rsidP="00A5398C">
      <w:pPr>
        <w:pStyle w:val="ListParagraph"/>
        <w:numPr>
          <w:ilvl w:val="0"/>
          <w:numId w:val="20"/>
        </w:numPr>
        <w:tabs>
          <w:tab w:val="left" w:pos="0"/>
        </w:tabs>
        <w:spacing w:line="276" w:lineRule="auto"/>
        <w:rPr>
          <w:rFonts w:ascii="Garamond" w:hAnsi="Garamond"/>
          <w:b/>
          <w:bCs/>
          <w:szCs w:val="24"/>
          <w:lang w:val="en-AU"/>
        </w:rPr>
      </w:pPr>
      <w:r w:rsidRPr="00EF6F46">
        <w:rPr>
          <w:rFonts w:ascii="Garamond" w:hAnsi="Garamond" w:cs="Segoe UI"/>
          <w:szCs w:val="24"/>
        </w:rPr>
        <w:t>Hifz al-Din: Pemberian hafalan ayat-ayat al-Qur'an sebagai mahar perkawinan menghormati nilai-nilai agama dan mempromosikan kebebasan beragama dalam hubungan pernikahan.</w:t>
      </w:r>
    </w:p>
    <w:p w14:paraId="10852792" w14:textId="77777777" w:rsidR="00D55536" w:rsidRPr="00EF6F46" w:rsidRDefault="00D55536" w:rsidP="00D55536">
      <w:pPr>
        <w:pStyle w:val="ListParagraph"/>
        <w:numPr>
          <w:ilvl w:val="0"/>
          <w:numId w:val="20"/>
        </w:numPr>
        <w:tabs>
          <w:tab w:val="left" w:pos="0"/>
        </w:tabs>
        <w:spacing w:line="276" w:lineRule="auto"/>
        <w:rPr>
          <w:rFonts w:ascii="Garamond" w:hAnsi="Garamond"/>
          <w:b/>
          <w:bCs/>
          <w:szCs w:val="24"/>
          <w:lang w:val="en-AU"/>
        </w:rPr>
      </w:pPr>
      <w:r w:rsidRPr="00EF6F46">
        <w:rPr>
          <w:rFonts w:ascii="Garamond" w:hAnsi="Garamond" w:cs="Segoe UI"/>
          <w:szCs w:val="24"/>
        </w:rPr>
        <w:t>Hifz al-Nafs: Melalui hafalan ayat-ayat al-Qur'an, pasangan suami istri dapat mengingat dan menerapkan nilai-nilai agama yang dapat membantu mereka menjaga keharmonisan pernikahan dan menghindari perilaku yang membahayakan.</w:t>
      </w:r>
    </w:p>
    <w:p w14:paraId="6E6DD7D2" w14:textId="77777777" w:rsidR="00D55536" w:rsidRPr="00EF6F46" w:rsidRDefault="00D55536" w:rsidP="00D55536">
      <w:pPr>
        <w:pStyle w:val="ListParagraph"/>
        <w:numPr>
          <w:ilvl w:val="0"/>
          <w:numId w:val="20"/>
        </w:numPr>
        <w:tabs>
          <w:tab w:val="left" w:pos="0"/>
        </w:tabs>
        <w:spacing w:line="276" w:lineRule="auto"/>
        <w:rPr>
          <w:rFonts w:ascii="Garamond" w:hAnsi="Garamond"/>
          <w:b/>
          <w:bCs/>
          <w:szCs w:val="24"/>
          <w:lang w:val="en-AU"/>
        </w:rPr>
      </w:pPr>
      <w:r w:rsidRPr="00EF6F46">
        <w:rPr>
          <w:rFonts w:ascii="Garamond" w:hAnsi="Garamond" w:cs="Segoe UI"/>
          <w:szCs w:val="24"/>
        </w:rPr>
        <w:t>Hifz al-Aql: Hafalan ayat-ayat al-Qur'an dapat membantu pasangan mengembangkan pemahaman agama yang lebih baik dan menghindari tindakan yang tidak sesuai dengan ajaran Islam.</w:t>
      </w:r>
    </w:p>
    <w:p w14:paraId="7FE4395B" w14:textId="77777777" w:rsidR="00D55536" w:rsidRPr="00EF6F46" w:rsidRDefault="00D55536" w:rsidP="00D55536">
      <w:pPr>
        <w:pStyle w:val="ListParagraph"/>
        <w:numPr>
          <w:ilvl w:val="0"/>
          <w:numId w:val="20"/>
        </w:numPr>
        <w:tabs>
          <w:tab w:val="left" w:pos="0"/>
        </w:tabs>
        <w:spacing w:line="276" w:lineRule="auto"/>
        <w:rPr>
          <w:rFonts w:ascii="Garamond" w:hAnsi="Garamond"/>
          <w:b/>
          <w:bCs/>
          <w:szCs w:val="24"/>
          <w:lang w:val="en-AU"/>
        </w:rPr>
      </w:pPr>
      <w:r w:rsidRPr="00EF6F46">
        <w:rPr>
          <w:rFonts w:ascii="Garamond" w:hAnsi="Garamond" w:cs="Segoe UI"/>
          <w:szCs w:val="24"/>
        </w:rPr>
        <w:t>Hifz al-Nasl: Mengajarkan anak-anak ayat-ayat al-Qur'an sebagai bagian dari mahar perkawinan dapat memastikan pendidikan agama yang baik untuk keturunan mereka.</w:t>
      </w:r>
    </w:p>
    <w:p w14:paraId="664D8EB3" w14:textId="60AD6879" w:rsidR="00C50B53" w:rsidRPr="00EF6F46" w:rsidRDefault="00D55536" w:rsidP="00EF6F46">
      <w:pPr>
        <w:pStyle w:val="ListParagraph"/>
        <w:numPr>
          <w:ilvl w:val="0"/>
          <w:numId w:val="20"/>
        </w:numPr>
        <w:tabs>
          <w:tab w:val="left" w:pos="0"/>
        </w:tabs>
        <w:spacing w:after="120" w:line="276" w:lineRule="auto"/>
        <w:rPr>
          <w:rFonts w:ascii="Garamond" w:hAnsi="Garamond"/>
          <w:b/>
          <w:bCs/>
          <w:szCs w:val="24"/>
          <w:lang w:val="en-AU"/>
        </w:rPr>
      </w:pPr>
      <w:r w:rsidRPr="00EF6F46">
        <w:rPr>
          <w:rFonts w:ascii="Garamond" w:hAnsi="Garamond" w:cs="Segoe UI"/>
          <w:szCs w:val="24"/>
        </w:rPr>
        <w:t>Hifz al-Mal: Hafalan ayat-ayat al-Qur'an sebagai mahar perkawinan juga dapat dilihat sebagai bentuk investasi spiritual yang melibatkan pemberian harta, yang melindungi nilai-nilai keagamaan dan menghindari perilaku yang bertentangan dengan etika Islam.</w:t>
      </w:r>
    </w:p>
    <w:p w14:paraId="0BDF510D" w14:textId="001492FA" w:rsidR="002433AF" w:rsidRDefault="004411C3" w:rsidP="002433AF">
      <w:pPr>
        <w:tabs>
          <w:tab w:val="left" w:pos="0"/>
        </w:tabs>
        <w:rPr>
          <w:rFonts w:ascii="Garamond" w:hAnsi="Garamond" w:cs="Segoe UI"/>
          <w:sz w:val="24"/>
          <w:szCs w:val="24"/>
        </w:rPr>
      </w:pPr>
      <w:r w:rsidRPr="004411C3">
        <w:rPr>
          <w:rFonts w:ascii="Garamond" w:hAnsi="Garamond" w:cs="Segoe UI"/>
          <w:sz w:val="24"/>
          <w:szCs w:val="24"/>
        </w:rPr>
        <w:t>Sebagaimana pandangan Ulama Syafi’iyah dan Hanabilah yang menyatakan bahwa hukumnya sah jika mahar berupa jasa karena diizinkan mengambil pengganti. Ulama Syafi’iyah dan Ibnu Hazm mengizinkan dengan dasar Hadist”Aku nikahkan engkau dengan mahar hafalan al-Qur’an yang engkau miliki”.</w:t>
      </w:r>
      <w:r w:rsidR="002433AF">
        <w:rPr>
          <w:rStyle w:val="FootnoteReference"/>
          <w:rFonts w:ascii="Garamond" w:hAnsi="Garamond"/>
          <w:sz w:val="24"/>
          <w:szCs w:val="24"/>
        </w:rPr>
        <w:footnoteReference w:id="20"/>
      </w:r>
    </w:p>
    <w:bookmarkEnd w:id="3"/>
    <w:p w14:paraId="2A27726A" w14:textId="4EA582C4" w:rsidR="00843A8F" w:rsidRDefault="00D55536" w:rsidP="004F6784">
      <w:pPr>
        <w:tabs>
          <w:tab w:val="left" w:pos="0"/>
        </w:tabs>
        <w:rPr>
          <w:rFonts w:ascii="Garamond" w:hAnsi="Garamond" w:cs="Segoe UI"/>
          <w:sz w:val="24"/>
          <w:szCs w:val="24"/>
        </w:rPr>
      </w:pPr>
      <w:r w:rsidRPr="00D55536">
        <w:rPr>
          <w:rFonts w:ascii="Garamond" w:hAnsi="Garamond" w:cs="Segoe UI"/>
          <w:sz w:val="24"/>
          <w:szCs w:val="24"/>
        </w:rPr>
        <w:t>Konsep Maqashid al-Shariah bisa diinterpretasikan secara berbeda oleh cendekiawan dan ulama Islam. Oleh karena itu, pendekatan terhadap hafalan ayat al-Qur'an sebagai mahar perkawinan dapat bervariasi tergantung pada interpretasi dan pandangan hukum yang dianut oleh masing-masing komunitas atau individu.</w:t>
      </w:r>
      <w:r w:rsidR="008D24F9">
        <w:rPr>
          <w:rFonts w:ascii="Garamond" w:hAnsi="Garamond" w:cs="Segoe UI"/>
          <w:sz w:val="24"/>
          <w:szCs w:val="24"/>
        </w:rPr>
        <w:t xml:space="preserve"> Oleh karena itu, eksistensi mahar seringkali menjadi perbedaan pendapat, namun tetap mempunyai esensi bernilai terlapas dari apapun bentuknya, manfaarnya atau jasa yang dipakai.</w:t>
      </w:r>
      <w:r w:rsidR="009E3C2D">
        <w:rPr>
          <w:rStyle w:val="FootnoteReference"/>
          <w:rFonts w:ascii="Garamond" w:hAnsi="Garamond"/>
          <w:sz w:val="24"/>
          <w:szCs w:val="24"/>
        </w:rPr>
        <w:footnoteReference w:id="21"/>
      </w:r>
    </w:p>
    <w:p w14:paraId="7BE76341" w14:textId="77777777" w:rsidR="00DF0D8B" w:rsidRDefault="00DF0D8B" w:rsidP="009E3C2D">
      <w:pPr>
        <w:tabs>
          <w:tab w:val="left" w:pos="0"/>
        </w:tabs>
        <w:ind w:firstLine="0"/>
        <w:rPr>
          <w:rFonts w:ascii="Garamond" w:hAnsi="Garamond"/>
          <w:b/>
          <w:bCs/>
          <w:sz w:val="24"/>
          <w:szCs w:val="24"/>
          <w:lang w:val="en-AU"/>
        </w:rPr>
      </w:pPr>
    </w:p>
    <w:p w14:paraId="446E8413" w14:textId="77777777" w:rsidR="00E05E1B" w:rsidRDefault="00843A8F" w:rsidP="00E05E1B">
      <w:pPr>
        <w:tabs>
          <w:tab w:val="left" w:pos="0"/>
        </w:tabs>
        <w:ind w:firstLine="0"/>
        <w:rPr>
          <w:rFonts w:ascii="Garamond" w:hAnsi="Garamond"/>
          <w:b/>
          <w:bCs/>
          <w:sz w:val="24"/>
          <w:szCs w:val="24"/>
          <w:lang w:val="en-AU"/>
        </w:rPr>
      </w:pPr>
      <w:r>
        <w:rPr>
          <w:rFonts w:ascii="Garamond" w:hAnsi="Garamond"/>
          <w:b/>
          <w:bCs/>
          <w:sz w:val="24"/>
          <w:szCs w:val="24"/>
          <w:lang w:val="en-AU"/>
        </w:rPr>
        <w:t>Implikasi Mahar Perkawinan Berupa Hafalan Ayat al-Qur’an dalam Masyarakat</w:t>
      </w:r>
    </w:p>
    <w:p w14:paraId="28410E50" w14:textId="26E4709A" w:rsidR="00EB34D1" w:rsidRDefault="00E05E1B" w:rsidP="00EB0FB4">
      <w:pPr>
        <w:tabs>
          <w:tab w:val="left" w:pos="0"/>
        </w:tabs>
        <w:ind w:firstLine="0"/>
        <w:rPr>
          <w:rFonts w:ascii="Garamond" w:hAnsi="Garamond" w:cs="Segoe UI"/>
          <w:sz w:val="24"/>
          <w:szCs w:val="24"/>
        </w:rPr>
      </w:pPr>
      <w:r>
        <w:rPr>
          <w:rFonts w:ascii="Garamond" w:hAnsi="Garamond"/>
          <w:b/>
          <w:bCs/>
          <w:sz w:val="24"/>
          <w:szCs w:val="24"/>
          <w:lang w:val="en-AU"/>
        </w:rPr>
        <w:tab/>
      </w:r>
      <w:r w:rsidRPr="00E05E1B">
        <w:rPr>
          <w:rFonts w:ascii="Garamond" w:hAnsi="Garamond" w:cs="Segoe UI"/>
          <w:sz w:val="24"/>
          <w:szCs w:val="24"/>
        </w:rPr>
        <w:t>Tradisi mahar (maskawin) dalam masyarakat merujuk pada harta atau barang yang diberikan oleh pihak laki-laki kepada pihak perempuan sebagai bagian dari perjanjian perkawinan. Tradisi ini dapat bervariasi secara signifikan dari satu budaya dan agama ke budaya dan agama lainnya. Salah satu bentuk tradisi mahar yang umum adalah memberikan sejumlah uang atau harta benda sebagai tanda keseriusan pernikahan dan sebagai bentuk dukungan finansial bagi pasangan perempuan. Besarannya dapat bervariasi, tergantung pada kemampuan ekonomi pihak laki-laki dan kesepakatan keluarga.</w:t>
      </w:r>
    </w:p>
    <w:p w14:paraId="15019B90" w14:textId="12AA38C4" w:rsidR="00EB34D1" w:rsidRPr="00EB34D1" w:rsidRDefault="00EB34D1" w:rsidP="004F6784">
      <w:pPr>
        <w:tabs>
          <w:tab w:val="left" w:pos="0"/>
        </w:tabs>
        <w:ind w:firstLine="0"/>
        <w:rPr>
          <w:rFonts w:ascii="Garamond" w:hAnsi="Garamond" w:cs="Segoe UI"/>
          <w:sz w:val="24"/>
          <w:szCs w:val="24"/>
        </w:rPr>
      </w:pPr>
      <w:r w:rsidRPr="00EB34D1">
        <w:rPr>
          <w:rFonts w:ascii="Garamond" w:hAnsi="Garamond" w:cs="Segoe UI"/>
          <w:sz w:val="24"/>
          <w:szCs w:val="24"/>
        </w:rPr>
        <w:tab/>
        <w:t>Dalam beberapa budaya dan kelompok agama, hafalan ayat al-Qur'an oleh pihak perempuan atau pasangan suami istri dapat dianggap sebagai bentuk mahar perkawinan. Praktik ini mencerminkan penghargaan terhadap nilai agama dan pengetahuan agama yang dimiliki oleh individu, terutama dalam konteks Islam</w:t>
      </w:r>
      <w:r w:rsidR="004F6784">
        <w:rPr>
          <w:rFonts w:ascii="Garamond" w:hAnsi="Garamond" w:cs="Segoe UI"/>
          <w:sz w:val="24"/>
          <w:szCs w:val="24"/>
        </w:rPr>
        <w:t>. Contohnya p</w:t>
      </w:r>
      <w:r w:rsidRPr="00EB34D1">
        <w:rPr>
          <w:rFonts w:ascii="Garamond" w:hAnsi="Garamond" w:cs="Segoe UI"/>
          <w:sz w:val="24"/>
          <w:szCs w:val="24"/>
        </w:rPr>
        <w:t>ada beberapa masyarakat Arab, khususnya di daerah Timur Tengah, tradisi memberikan hafalan ayat al-Qur'an sebagai bagian dari mahar perkawinan cukup umum. Pemberian hafalan ayat al-Qur'an dianggap sebagai bentuk investasi dalam pendidikan agama dan sebagai cara untuk mendukung pasangan perempuan dalam menjalankan peran keagamaan mereka.</w:t>
      </w:r>
    </w:p>
    <w:p w14:paraId="4D1AEA8C" w14:textId="77777777" w:rsidR="00EB34D1" w:rsidRPr="00EB34D1" w:rsidRDefault="00EB34D1" w:rsidP="00EB34D1">
      <w:pPr>
        <w:tabs>
          <w:tab w:val="left" w:pos="0"/>
        </w:tabs>
        <w:ind w:firstLine="0"/>
        <w:rPr>
          <w:rFonts w:ascii="Garamond" w:hAnsi="Garamond" w:cs="Segoe UI"/>
          <w:sz w:val="24"/>
          <w:szCs w:val="24"/>
        </w:rPr>
      </w:pPr>
      <w:r w:rsidRPr="00EB34D1">
        <w:rPr>
          <w:rFonts w:ascii="Garamond" w:hAnsi="Garamond" w:cs="Segoe UI"/>
          <w:sz w:val="24"/>
          <w:szCs w:val="24"/>
        </w:rPr>
        <w:tab/>
        <w:t>Kemudian pada beberapa negara Asia, seperti Indonesia dan Malaysia, juga terdapat praktik memberikan hafalan ayat al-Qur'an sebagai mahar perkawinan. Ini dapat dianggap sebagai simbol komitmen untuk menjalankan ajaran agama dan mendukung pendidikan agama. Bahkan dalam kelompok Muslim minoritas atau komunitas yang menganut interpretasi khusus terhadap Islam, pemberian hafalan ayat al-Qur'an sebagai mahar perkawinan bisa menjadi tradisi atau praktik yang dihargai.</w:t>
      </w:r>
    </w:p>
    <w:p w14:paraId="250B3927" w14:textId="77777777" w:rsidR="00EB34D1" w:rsidRPr="00EB34D1" w:rsidRDefault="00EB34D1" w:rsidP="00EB34D1">
      <w:pPr>
        <w:tabs>
          <w:tab w:val="left" w:pos="0"/>
        </w:tabs>
        <w:ind w:firstLine="0"/>
        <w:rPr>
          <w:rFonts w:ascii="Garamond" w:hAnsi="Garamond" w:cs="Segoe UI"/>
          <w:sz w:val="24"/>
          <w:szCs w:val="24"/>
        </w:rPr>
      </w:pPr>
      <w:r w:rsidRPr="00EB34D1">
        <w:rPr>
          <w:rFonts w:ascii="Garamond" w:hAnsi="Garamond" w:cs="Segoe UI"/>
          <w:sz w:val="24"/>
          <w:szCs w:val="24"/>
        </w:rPr>
        <w:tab/>
        <w:t>Meskipun praktik ini bisa dianggap bermakna dan positif dalam konteks penghormatan terhadap ajaran agama, penting untuk diingat bahwa implementasinya dapat bervariasi dan kadang-kadang dapat memunculkan pertanyaan tentang kesetaraan gender dan nilai-nilai sosial. Beberapa perempuan mungkin merasa terbebani oleh harapan untuk menghafal ayat-ayat al-Qur'an sebagai bagian dari mahar perkawinan. Oleh karena itu, penting untuk memastikan bahwa tradisi ini tidak berkonflik dengan prinsip-prinsip kesetaraan dan hak asasi manusia dalam masyarakat.</w:t>
      </w:r>
    </w:p>
    <w:p w14:paraId="1F29EC15" w14:textId="0664F0A6" w:rsidR="00E43AB3" w:rsidRDefault="00EB34D1" w:rsidP="00E43AB3">
      <w:pPr>
        <w:tabs>
          <w:tab w:val="left" w:pos="0"/>
        </w:tabs>
        <w:ind w:firstLine="0"/>
        <w:rPr>
          <w:rFonts w:ascii="Garamond" w:hAnsi="Garamond" w:cs="Segoe UI"/>
          <w:sz w:val="24"/>
          <w:szCs w:val="24"/>
          <w:shd w:val="clear" w:color="auto" w:fill="FFFFFF" w:themeFill="background1"/>
        </w:rPr>
      </w:pPr>
      <w:r>
        <w:rPr>
          <w:rFonts w:ascii="Segoe UI" w:hAnsi="Segoe UI" w:cs="Segoe UI"/>
          <w:color w:val="374151"/>
        </w:rPr>
        <w:tab/>
      </w:r>
      <w:bookmarkStart w:id="4" w:name="_Hlk142896733"/>
      <w:r w:rsidR="00095688" w:rsidRPr="0090192C">
        <w:rPr>
          <w:rFonts w:ascii="Garamond" w:hAnsi="Garamond" w:cs="Segoe UI"/>
          <w:sz w:val="24"/>
          <w:szCs w:val="24"/>
        </w:rPr>
        <w:t xml:space="preserve">Implikasi dari menggunakan hafalan ayat al-Qur'an sebagai mahar perkawinan dalam masyarakat dapat memiliki dampak yang beragam tergantung pada konteks budaya, agama, dan pandangan sosial masyarakat tersebut. </w:t>
      </w:r>
      <w:r w:rsidR="00E43AB3">
        <w:rPr>
          <w:rFonts w:ascii="Garamond" w:hAnsi="Garamond" w:cs="Segoe UI"/>
          <w:sz w:val="24"/>
          <w:szCs w:val="24"/>
        </w:rPr>
        <w:t xml:space="preserve"> </w:t>
      </w:r>
      <w:r w:rsidR="00E43AB3" w:rsidRPr="00E43AB3">
        <w:rPr>
          <w:rFonts w:ascii="Garamond" w:hAnsi="Garamond" w:cs="Segoe UI"/>
          <w:sz w:val="24"/>
          <w:szCs w:val="24"/>
        </w:rPr>
        <w:t>Memberikan mahar pernikahan dalam bentuk hafalan al-Qur'an dianggap sah</w:t>
      </w:r>
      <w:r w:rsidR="00E43AB3" w:rsidRPr="00E43AB3">
        <w:rPr>
          <w:rFonts w:ascii="Garamond" w:hAnsi="Garamond" w:cs="Segoe UI"/>
          <w:sz w:val="24"/>
          <w:szCs w:val="24"/>
          <w:shd w:val="clear" w:color="auto" w:fill="F7F7F8"/>
        </w:rPr>
        <w:t xml:space="preserve"> </w:t>
      </w:r>
      <w:r w:rsidR="00E43AB3" w:rsidRPr="00E43AB3">
        <w:rPr>
          <w:rFonts w:ascii="Garamond" w:hAnsi="Garamond" w:cs="Segoe UI"/>
          <w:sz w:val="24"/>
          <w:szCs w:val="24"/>
        </w:rPr>
        <w:t>dalam hukum Islam, karena sesuai dengan prinsip-prinsip syariat. Pemberian</w:t>
      </w:r>
      <w:r w:rsidR="00E43AB3" w:rsidRPr="00E43AB3">
        <w:rPr>
          <w:rFonts w:ascii="Garamond" w:hAnsi="Garamond" w:cs="Segoe UI"/>
          <w:sz w:val="24"/>
          <w:szCs w:val="24"/>
          <w:shd w:val="clear" w:color="auto" w:fill="F7F7F8"/>
        </w:rPr>
        <w:t xml:space="preserve"> </w:t>
      </w:r>
      <w:r w:rsidR="00E43AB3" w:rsidRPr="00E43AB3">
        <w:rPr>
          <w:rFonts w:ascii="Garamond" w:hAnsi="Garamond" w:cs="Segoe UI"/>
          <w:sz w:val="24"/>
          <w:szCs w:val="24"/>
        </w:rPr>
        <w:t>mahar berupa hafalan al-Qur'an juga menunjukkan komitmen seorang laki-laki</w:t>
      </w:r>
      <w:r w:rsidR="00E43AB3" w:rsidRPr="00E43AB3">
        <w:rPr>
          <w:rFonts w:ascii="Garamond" w:hAnsi="Garamond" w:cs="Segoe UI"/>
          <w:sz w:val="24"/>
          <w:szCs w:val="24"/>
          <w:shd w:val="clear" w:color="auto" w:fill="F7F7F8"/>
        </w:rPr>
        <w:t xml:space="preserve"> </w:t>
      </w:r>
      <w:r w:rsidR="00E43AB3" w:rsidRPr="00E43AB3">
        <w:rPr>
          <w:rFonts w:ascii="Garamond" w:hAnsi="Garamond" w:cs="Segoe UI"/>
          <w:sz w:val="24"/>
          <w:szCs w:val="24"/>
        </w:rPr>
        <w:t>untuk menerapkan nilai-nilai dan tujuan Islam, terutama dalam menjaga</w:t>
      </w:r>
      <w:r w:rsidR="00E43AB3" w:rsidRPr="00E43AB3">
        <w:rPr>
          <w:rFonts w:ascii="Garamond" w:hAnsi="Garamond" w:cs="Segoe UI"/>
          <w:sz w:val="24"/>
          <w:szCs w:val="24"/>
          <w:shd w:val="clear" w:color="auto" w:fill="F7F7F8"/>
        </w:rPr>
        <w:t xml:space="preserve"> </w:t>
      </w:r>
      <w:r w:rsidR="00E43AB3" w:rsidRPr="00E43AB3">
        <w:rPr>
          <w:rFonts w:ascii="Garamond" w:hAnsi="Garamond" w:cs="Segoe UI"/>
          <w:sz w:val="24"/>
          <w:szCs w:val="24"/>
        </w:rPr>
        <w:t>kehormatan. Sebab, terdapat juga aspek kebijaksanaan yang sejalan dengan dasar</w:t>
      </w:r>
      <w:r w:rsidR="00E43AB3" w:rsidRPr="00E43AB3">
        <w:rPr>
          <w:rFonts w:ascii="Garamond" w:hAnsi="Garamond" w:cs="Segoe UI"/>
          <w:sz w:val="24"/>
          <w:szCs w:val="24"/>
          <w:shd w:val="clear" w:color="auto" w:fill="F7F7F8"/>
        </w:rPr>
        <w:t xml:space="preserve"> </w:t>
      </w:r>
      <w:r w:rsidR="00E43AB3" w:rsidRPr="00E43AB3">
        <w:rPr>
          <w:rFonts w:ascii="Garamond" w:hAnsi="Garamond" w:cs="Segoe UI"/>
          <w:sz w:val="24"/>
          <w:szCs w:val="24"/>
        </w:rPr>
        <w:t>pemberian mahar, karena hafalan al-Qur'an sangat relevan dengan maksud</w:t>
      </w:r>
      <w:r w:rsidR="00E43AB3" w:rsidRPr="00E43AB3">
        <w:rPr>
          <w:rFonts w:ascii="Garamond" w:hAnsi="Garamond" w:cs="Segoe UI"/>
          <w:sz w:val="24"/>
          <w:szCs w:val="24"/>
          <w:shd w:val="clear" w:color="auto" w:fill="F7F7F8"/>
        </w:rPr>
        <w:t xml:space="preserve"> </w:t>
      </w:r>
      <w:r w:rsidR="00E43AB3" w:rsidRPr="00E43AB3">
        <w:rPr>
          <w:rFonts w:ascii="Garamond" w:hAnsi="Garamond" w:cs="Segoe UI"/>
          <w:sz w:val="24"/>
          <w:szCs w:val="24"/>
          <w:shd w:val="clear" w:color="auto" w:fill="FFFFFF" w:themeFill="background1"/>
        </w:rPr>
        <w:t>disyaratkan pemberian mahar bagi mereka yang ingin menikahi seorang wanita.</w:t>
      </w:r>
      <w:r w:rsidR="00E43AB3">
        <w:rPr>
          <w:rStyle w:val="FootnoteReference"/>
          <w:rFonts w:ascii="Garamond" w:hAnsi="Garamond"/>
          <w:sz w:val="24"/>
          <w:szCs w:val="24"/>
          <w:shd w:val="clear" w:color="auto" w:fill="FFFFFF" w:themeFill="background1"/>
        </w:rPr>
        <w:footnoteReference w:id="22"/>
      </w:r>
    </w:p>
    <w:bookmarkEnd w:id="4"/>
    <w:p w14:paraId="7B9F261D" w14:textId="77777777" w:rsidR="00095688" w:rsidRPr="0090192C" w:rsidRDefault="00095688" w:rsidP="00095688">
      <w:pPr>
        <w:tabs>
          <w:tab w:val="left" w:pos="0"/>
        </w:tabs>
        <w:ind w:firstLine="0"/>
        <w:rPr>
          <w:rFonts w:ascii="Garamond" w:hAnsi="Garamond" w:cs="Segoe UI"/>
          <w:sz w:val="24"/>
          <w:szCs w:val="24"/>
        </w:rPr>
      </w:pPr>
      <w:r w:rsidRPr="0090192C">
        <w:rPr>
          <w:rFonts w:ascii="Garamond" w:hAnsi="Garamond" w:cs="Segoe UI"/>
          <w:sz w:val="24"/>
          <w:szCs w:val="24"/>
        </w:rPr>
        <w:tab/>
        <w:t>Pemberian hafalan ayat al-Qur'an sebagai mahar perkawinan dapat meningkatkan nilai-nilai agama dan spiritualitas dalam hubungan pernikahan. Ini dapat membantu pasangan suami istri menjalankan hidup berkeluarga berdasarkan prinsip-prinsip Islam dan memperkuat ikatan mereka dengan Allah SWT. Perkawinan dalam bentuk hafalan ayat al-Qur'an juga dapat mendorong penguasaan dan pemahaman yang lebih dalam terhadap ajaran Islam. Ini juga dapat mendorong kesadaran akan pentingnya pendidikan agama dalam keluarga dan mempromosikan pembelajaran agama yang berkelanjutan.</w:t>
      </w:r>
    </w:p>
    <w:p w14:paraId="1DD70F70" w14:textId="77777777" w:rsidR="00095688" w:rsidRPr="0090192C" w:rsidRDefault="00095688" w:rsidP="00095688">
      <w:pPr>
        <w:tabs>
          <w:tab w:val="left" w:pos="0"/>
        </w:tabs>
        <w:ind w:firstLine="0"/>
        <w:rPr>
          <w:rFonts w:ascii="Garamond" w:hAnsi="Garamond" w:cs="Segoe UI"/>
          <w:sz w:val="24"/>
          <w:szCs w:val="24"/>
        </w:rPr>
      </w:pPr>
      <w:r w:rsidRPr="0090192C">
        <w:rPr>
          <w:rFonts w:ascii="Garamond" w:hAnsi="Garamond" w:cs="Segoe UI"/>
          <w:sz w:val="24"/>
          <w:szCs w:val="24"/>
        </w:rPr>
        <w:tab/>
        <w:t>Namun, pemberian hafalan ayat al-Qur'an sebagai mahar perkawinan bisa menjadi bentuk investasi dalam pendidikan agama untuk keturunan. Hal ini dapat membantu mewariskan nilai-nilai agama kepada generasi mendatang dan membangun fondasi spiritual yang kuat dalam keluarga. Hafalan ayat al-Qur'an sebagai mahar perkawinan dapat memperkuat hubungan dalam keluarga dengan mendukung nilai-nilai keagamaan dan etika Islam. Ini dapat berkontribusi pada kerukunan dan harmoni dalam rumah tangga, memelihara tradisi serta dapat membantu mempertahankan warisan keagamaan dan budaya dalam masyarakat.</w:t>
      </w:r>
    </w:p>
    <w:p w14:paraId="1FACB47D" w14:textId="0CD93107" w:rsidR="00095688" w:rsidRDefault="00095688" w:rsidP="00095688">
      <w:pPr>
        <w:tabs>
          <w:tab w:val="left" w:pos="0"/>
        </w:tabs>
        <w:ind w:firstLine="0"/>
        <w:rPr>
          <w:rFonts w:ascii="Garamond" w:hAnsi="Garamond" w:cs="Segoe UI"/>
          <w:sz w:val="24"/>
          <w:szCs w:val="24"/>
        </w:rPr>
      </w:pPr>
      <w:r w:rsidRPr="0090192C">
        <w:rPr>
          <w:rFonts w:ascii="Garamond" w:hAnsi="Garamond" w:cs="Segoe UI"/>
          <w:sz w:val="24"/>
          <w:szCs w:val="24"/>
        </w:rPr>
        <w:tab/>
        <w:t>Jika hafalan ayat al-Qur'an diajarkan dan diberikan kepada perempuan sebagai mahar perkawinan, hal ini dapat memberikan pemberdayaan kepada perempuan dalam masyarakat dengan memberikan mereka pengetahuan agama yang lebih mendalam. Penggunaan hafalan ayat al-Qur'an sebagai mahar perkawinan mungkin juga menyebabkan kontroversi dan pertentangan dalam masyarakat. Beberapa orang mungkin berpendapat bahwa praktek ini dapat mereduksi nilai pernikahan menjadi transaksi atau spekulasi agama. Bahkan dalam beberapa konteks, penggunaan hafalan ayat al-Qur'an sebagai mahar perkawinan mungkin menimbulkan pertanyaan tentang kesetaraan gender, khususnya jika perempuan diminta untuk memberikan hafalan ayat al-Qur'an sebagai mahar, sementara laki-laki tidak.</w:t>
      </w:r>
    </w:p>
    <w:p w14:paraId="465A2B2C" w14:textId="77777777" w:rsidR="00F32E03" w:rsidRPr="0090192C" w:rsidRDefault="00F32E03" w:rsidP="00095688">
      <w:pPr>
        <w:tabs>
          <w:tab w:val="left" w:pos="0"/>
        </w:tabs>
        <w:ind w:firstLine="0"/>
        <w:rPr>
          <w:rFonts w:ascii="Garamond" w:hAnsi="Garamond" w:cs="Segoe UI"/>
          <w:sz w:val="24"/>
          <w:szCs w:val="24"/>
        </w:rPr>
      </w:pPr>
    </w:p>
    <w:p w14:paraId="62D91BF2" w14:textId="76DEDACA" w:rsidR="00116949" w:rsidRPr="00421B90" w:rsidRDefault="00421B90" w:rsidP="00491400">
      <w:pPr>
        <w:tabs>
          <w:tab w:val="left" w:pos="567"/>
        </w:tabs>
        <w:spacing w:after="120"/>
        <w:ind w:left="567" w:hanging="567"/>
        <w:rPr>
          <w:rFonts w:ascii="Garamond" w:hAnsi="Garamond"/>
          <w:b/>
          <w:bCs/>
          <w:sz w:val="24"/>
          <w:szCs w:val="24"/>
          <w:lang w:val="en-AU"/>
        </w:rPr>
      </w:pPr>
      <w:r>
        <w:rPr>
          <w:rFonts w:ascii="Garamond" w:hAnsi="Garamond"/>
          <w:b/>
          <w:bCs/>
          <w:sz w:val="24"/>
          <w:szCs w:val="24"/>
          <w:lang w:val="en-AU"/>
        </w:rPr>
        <w:t>Kesimpulan</w:t>
      </w:r>
    </w:p>
    <w:p w14:paraId="1F924FBA" w14:textId="4957872A" w:rsidR="00A5398C" w:rsidRPr="00EB34D1" w:rsidRDefault="00A5398C" w:rsidP="00A5398C">
      <w:pPr>
        <w:tabs>
          <w:tab w:val="left" w:pos="0"/>
        </w:tabs>
        <w:ind w:firstLine="0"/>
        <w:rPr>
          <w:rFonts w:ascii="Segoe UI" w:hAnsi="Segoe UI" w:cs="Segoe UI"/>
          <w:color w:val="374151"/>
        </w:rPr>
      </w:pPr>
      <w:r>
        <w:tab/>
      </w:r>
      <w:r>
        <w:rPr>
          <w:rFonts w:ascii="Garamond" w:hAnsi="Garamond" w:cstheme="majorBidi"/>
          <w:sz w:val="24"/>
          <w:szCs w:val="24"/>
        </w:rPr>
        <w:t>Pada dasarnya d</w:t>
      </w:r>
      <w:r w:rsidRPr="003226C0">
        <w:rPr>
          <w:rFonts w:ascii="Garamond" w:hAnsi="Garamond" w:cstheme="majorBidi"/>
          <w:sz w:val="24"/>
          <w:szCs w:val="24"/>
        </w:rPr>
        <w:t>alam hukum Islam, mahar merujuk pada pemberian yang diberikan oleh pihak laki-laki kepada pihak perempuan sebagai bagian dari proses pernikahan</w:t>
      </w:r>
      <w:r>
        <w:rPr>
          <w:rFonts w:ascii="Garamond" w:hAnsi="Garamond" w:cstheme="majorBidi"/>
          <w:sz w:val="24"/>
          <w:szCs w:val="24"/>
        </w:rPr>
        <w:t xml:space="preserve">, sehingga merupakan </w:t>
      </w:r>
      <w:r w:rsidRPr="003226C0">
        <w:rPr>
          <w:rFonts w:ascii="Garamond" w:hAnsi="Garamond" w:cstheme="majorBidi"/>
          <w:sz w:val="24"/>
          <w:szCs w:val="24"/>
        </w:rPr>
        <w:t>salah satu elemen penting dalam pernikahan dalam agama Islam dan memiliki makna yang lebih dalam daripada sekadar nilai materi.</w:t>
      </w:r>
      <w:r w:rsidRPr="00843106">
        <w:rPr>
          <w:rFonts w:ascii="Garamond" w:hAnsi="Garamond" w:cs="Segoe UI"/>
          <w:sz w:val="24"/>
          <w:szCs w:val="24"/>
        </w:rPr>
        <w:t xml:space="preserve"> </w:t>
      </w:r>
      <w:r>
        <w:rPr>
          <w:rFonts w:ascii="Garamond" w:hAnsi="Garamond" w:cs="Segoe UI"/>
          <w:sz w:val="24"/>
          <w:szCs w:val="24"/>
        </w:rPr>
        <w:t>M</w:t>
      </w:r>
      <w:r w:rsidRPr="00D55536">
        <w:rPr>
          <w:rFonts w:ascii="Garamond" w:hAnsi="Garamond" w:cs="Segoe UI"/>
          <w:sz w:val="24"/>
          <w:szCs w:val="24"/>
        </w:rPr>
        <w:t>ahar dapat memiliki beberapa jenis, tergantung pada bentuk, nilai, atau karakteristik pemberiannya</w:t>
      </w:r>
      <w:r>
        <w:rPr>
          <w:rFonts w:ascii="Garamond" w:hAnsi="Garamond" w:cs="Segoe UI"/>
          <w:sz w:val="24"/>
          <w:szCs w:val="24"/>
        </w:rPr>
        <w:t xml:space="preserve">. Adapun </w:t>
      </w:r>
      <w:r w:rsidRPr="00D55536">
        <w:rPr>
          <w:rFonts w:ascii="Garamond" w:hAnsi="Garamond" w:cs="Segoe UI"/>
          <w:sz w:val="24"/>
          <w:szCs w:val="24"/>
        </w:rPr>
        <w:t>hafalan ayat al-Qur'an sebagai mahar perkawinan</w:t>
      </w:r>
      <w:r>
        <w:rPr>
          <w:rFonts w:ascii="Garamond" w:hAnsi="Garamond" w:cs="Segoe UI"/>
          <w:sz w:val="24"/>
          <w:szCs w:val="24"/>
        </w:rPr>
        <w:t xml:space="preserve"> dalam k</w:t>
      </w:r>
      <w:r w:rsidRPr="00D55536">
        <w:rPr>
          <w:rFonts w:ascii="Garamond" w:hAnsi="Garamond" w:cs="Segoe UI"/>
          <w:sz w:val="24"/>
          <w:szCs w:val="24"/>
        </w:rPr>
        <w:t>onsep Maqashid al-S</w:t>
      </w:r>
      <w:r>
        <w:rPr>
          <w:rFonts w:ascii="Garamond" w:hAnsi="Garamond" w:cs="Segoe UI"/>
          <w:sz w:val="24"/>
          <w:szCs w:val="24"/>
        </w:rPr>
        <w:t>y</w:t>
      </w:r>
      <w:r w:rsidRPr="00D55536">
        <w:rPr>
          <w:rFonts w:ascii="Garamond" w:hAnsi="Garamond" w:cs="Segoe UI"/>
          <w:sz w:val="24"/>
          <w:szCs w:val="24"/>
        </w:rPr>
        <w:t xml:space="preserve">ariah dapat </w:t>
      </w:r>
      <w:r>
        <w:rPr>
          <w:rFonts w:ascii="Garamond" w:hAnsi="Garamond" w:cs="Segoe UI"/>
          <w:sz w:val="24"/>
          <w:szCs w:val="24"/>
        </w:rPr>
        <w:t>dilihat dari tujuannya yakni pada Hifz al-Din, H</w:t>
      </w:r>
      <w:r w:rsidRPr="007A4BB9">
        <w:rPr>
          <w:rFonts w:ascii="Garamond" w:hAnsi="Garamond" w:cs="Segoe UI"/>
          <w:szCs w:val="24"/>
        </w:rPr>
        <w:t>ifz al-Nafs</w:t>
      </w:r>
      <w:r>
        <w:rPr>
          <w:rFonts w:ascii="Garamond" w:hAnsi="Garamond" w:cs="Segoe UI"/>
          <w:szCs w:val="24"/>
        </w:rPr>
        <w:t>,</w:t>
      </w:r>
      <w:r w:rsidRPr="007A4BB9">
        <w:rPr>
          <w:rFonts w:ascii="Garamond" w:hAnsi="Garamond" w:cs="Segoe UI"/>
          <w:szCs w:val="24"/>
        </w:rPr>
        <w:t xml:space="preserve"> </w:t>
      </w:r>
      <w:r>
        <w:rPr>
          <w:rFonts w:ascii="Garamond" w:hAnsi="Garamond" w:cs="Segoe UI"/>
          <w:szCs w:val="24"/>
        </w:rPr>
        <w:t xml:space="preserve">Hifz al-Aql, </w:t>
      </w:r>
      <w:r w:rsidRPr="00D55536">
        <w:rPr>
          <w:rFonts w:ascii="Garamond" w:hAnsi="Garamond" w:cs="Segoe UI"/>
          <w:szCs w:val="24"/>
        </w:rPr>
        <w:t>Hifz al-Nasl</w:t>
      </w:r>
      <w:r>
        <w:rPr>
          <w:rFonts w:ascii="Garamond" w:hAnsi="Garamond" w:cs="Segoe UI"/>
          <w:szCs w:val="24"/>
        </w:rPr>
        <w:t xml:space="preserve">, dan </w:t>
      </w:r>
      <w:r w:rsidRPr="007A4BB9">
        <w:rPr>
          <w:rFonts w:ascii="Garamond" w:hAnsi="Garamond" w:cs="Segoe UI"/>
          <w:szCs w:val="24"/>
        </w:rPr>
        <w:t>Hifz al-Mal</w:t>
      </w:r>
      <w:r>
        <w:rPr>
          <w:rFonts w:ascii="Garamond" w:hAnsi="Garamond" w:cs="Segoe UI"/>
          <w:szCs w:val="24"/>
        </w:rPr>
        <w:t xml:space="preserve">. Sementara itu, </w:t>
      </w:r>
      <w:r>
        <w:rPr>
          <w:rFonts w:ascii="Garamond" w:hAnsi="Garamond" w:cs="Segoe UI"/>
          <w:sz w:val="24"/>
          <w:szCs w:val="24"/>
        </w:rPr>
        <w:t>i</w:t>
      </w:r>
      <w:r w:rsidRPr="0090192C">
        <w:rPr>
          <w:rFonts w:ascii="Garamond" w:hAnsi="Garamond" w:cs="Segoe UI"/>
          <w:sz w:val="24"/>
          <w:szCs w:val="24"/>
        </w:rPr>
        <w:t>mplikasi dari menggunakan hafalan ayat al-Qur'an sebagai mahar perkawinan dalam masyarakat dapat memiliki dampak yang beragam tergantung pada konteks budaya, agama, dan pandangan sosial masyarakat</w:t>
      </w:r>
      <w:r>
        <w:rPr>
          <w:rFonts w:ascii="Garamond" w:hAnsi="Garamond" w:cs="Segoe UI"/>
          <w:sz w:val="24"/>
          <w:szCs w:val="24"/>
        </w:rPr>
        <w:t xml:space="preserve">. </w:t>
      </w:r>
    </w:p>
    <w:p w14:paraId="1A79989F" w14:textId="77777777" w:rsidR="00A5398C" w:rsidRDefault="00A5398C" w:rsidP="00E11F35">
      <w:pPr>
        <w:tabs>
          <w:tab w:val="left" w:pos="567"/>
        </w:tabs>
        <w:spacing w:after="120"/>
        <w:ind w:firstLine="0"/>
        <w:rPr>
          <w:rFonts w:ascii="Garamond" w:hAnsi="Garamond"/>
          <w:b/>
          <w:bCs/>
          <w:sz w:val="24"/>
          <w:szCs w:val="24"/>
          <w:lang w:val="en-AU"/>
        </w:rPr>
      </w:pPr>
    </w:p>
    <w:sdt>
      <w:sdtPr>
        <w:rPr>
          <w:rFonts w:asciiTheme="minorHAnsi" w:eastAsiaTheme="minorEastAsia" w:hAnsiTheme="minorHAnsi" w:cs="Arial"/>
          <w:color w:val="auto"/>
          <w:sz w:val="22"/>
          <w:szCs w:val="22"/>
        </w:rPr>
        <w:id w:val="-1339225346"/>
        <w:docPartObj>
          <w:docPartGallery w:val="Bibliographies"/>
          <w:docPartUnique/>
        </w:docPartObj>
      </w:sdtPr>
      <w:sdtEndPr/>
      <w:sdtContent>
        <w:p w14:paraId="5E63A5FB" w14:textId="4A61E113" w:rsidR="002044DC" w:rsidRPr="009E221E" w:rsidRDefault="009E221E" w:rsidP="009E221E">
          <w:pPr>
            <w:pStyle w:val="Heading1"/>
            <w:rPr>
              <w:rFonts w:ascii="Garamond" w:hAnsi="Garamond"/>
              <w:b/>
              <w:bCs/>
              <w:color w:val="000000" w:themeColor="text1"/>
              <w:sz w:val="24"/>
              <w:szCs w:val="24"/>
            </w:rPr>
          </w:pPr>
          <w:r w:rsidRPr="009E221E">
            <w:rPr>
              <w:rFonts w:ascii="Garamond" w:hAnsi="Garamond"/>
              <w:b/>
              <w:bCs/>
              <w:color w:val="000000" w:themeColor="text1"/>
              <w:sz w:val="24"/>
              <w:szCs w:val="24"/>
            </w:rPr>
            <w:t>Daftar Pustaka</w:t>
          </w:r>
        </w:p>
        <w:sdt>
          <w:sdtPr>
            <w:id w:val="-573587230"/>
            <w:bibliography/>
          </w:sdtPr>
          <w:sdtEndPr/>
          <w:sdtContent>
            <w:p w14:paraId="4A8B41AA" w14:textId="77777777" w:rsidR="002044DC" w:rsidRPr="00D22CCA" w:rsidRDefault="002044DC" w:rsidP="002044DC">
              <w:pPr>
                <w:pStyle w:val="Bibliography"/>
                <w:rPr>
                  <w:rFonts w:ascii="Garamond" w:hAnsi="Garamond"/>
                  <w:noProof/>
                  <w:sz w:val="24"/>
                  <w:szCs w:val="24"/>
                </w:rPr>
              </w:pPr>
              <w:r w:rsidRPr="00D22CCA">
                <w:rPr>
                  <w:rFonts w:ascii="Garamond" w:hAnsi="Garamond"/>
                  <w:sz w:val="24"/>
                  <w:szCs w:val="24"/>
                </w:rPr>
                <w:fldChar w:fldCharType="begin"/>
              </w:r>
              <w:r w:rsidRPr="00D22CCA">
                <w:rPr>
                  <w:rFonts w:ascii="Garamond" w:hAnsi="Garamond"/>
                  <w:sz w:val="24"/>
                  <w:szCs w:val="24"/>
                </w:rPr>
                <w:instrText xml:space="preserve"> BIBLIOGRAPHY </w:instrText>
              </w:r>
              <w:r w:rsidRPr="00D22CCA">
                <w:rPr>
                  <w:rFonts w:ascii="Garamond" w:hAnsi="Garamond"/>
                  <w:sz w:val="24"/>
                  <w:szCs w:val="24"/>
                </w:rPr>
                <w:fldChar w:fldCharType="separate"/>
              </w:r>
              <w:r w:rsidRPr="00D22CCA">
                <w:rPr>
                  <w:rFonts w:ascii="Garamond" w:hAnsi="Garamond"/>
                  <w:noProof/>
                  <w:sz w:val="24"/>
                  <w:szCs w:val="24"/>
                </w:rPr>
                <w:t xml:space="preserve">Aini, N. (2014). Tradisi Mahar di Ranah Lokalitas Umat Islam: Mahar dan Struktur Sosial di Masyarakat Muslim Indonesia. </w:t>
              </w:r>
              <w:r w:rsidRPr="00D22CCA">
                <w:rPr>
                  <w:rFonts w:ascii="Garamond" w:hAnsi="Garamond"/>
                  <w:i/>
                  <w:iCs/>
                  <w:noProof/>
                  <w:sz w:val="24"/>
                  <w:szCs w:val="24"/>
                </w:rPr>
                <w:t>Jurnal Ahkam Volume XIV, no. 1</w:t>
              </w:r>
              <w:r w:rsidRPr="00D22CCA">
                <w:rPr>
                  <w:rFonts w:ascii="Garamond" w:hAnsi="Garamond"/>
                  <w:noProof/>
                  <w:sz w:val="24"/>
                  <w:szCs w:val="24"/>
                </w:rPr>
                <w:t>, 13.</w:t>
              </w:r>
            </w:p>
            <w:p w14:paraId="5B62F098"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Al-Kajrati, J. M. (1967). </w:t>
              </w:r>
              <w:r w:rsidRPr="00D22CCA">
                <w:rPr>
                  <w:rFonts w:ascii="Garamond" w:hAnsi="Garamond"/>
                  <w:i/>
                  <w:iCs/>
                  <w:noProof/>
                  <w:sz w:val="24"/>
                  <w:szCs w:val="24"/>
                </w:rPr>
                <w:t>, Mujma Bihar Al-Anwar Fi Gharaib at-Tanzil wa Lataif Al-Akhbar.</w:t>
              </w:r>
              <w:r w:rsidRPr="00D22CCA">
                <w:rPr>
                  <w:rFonts w:ascii="Garamond" w:hAnsi="Garamond"/>
                  <w:noProof/>
                  <w:sz w:val="24"/>
                  <w:szCs w:val="24"/>
                </w:rPr>
                <w:t xml:space="preserve"> Damaskus: Majlis Dairah al-Ma’arif al-Usmaniyah.</w:t>
              </w:r>
            </w:p>
            <w:p w14:paraId="7DB4EF40" w14:textId="351B80C4" w:rsidR="002044DC" w:rsidRPr="00D22CCA" w:rsidRDefault="00435F62" w:rsidP="002044DC">
              <w:pPr>
                <w:pStyle w:val="Bibliography"/>
                <w:rPr>
                  <w:rFonts w:ascii="Garamond" w:hAnsi="Garamond"/>
                  <w:noProof/>
                  <w:sz w:val="24"/>
                  <w:szCs w:val="24"/>
                </w:rPr>
              </w:pPr>
              <w:r>
                <w:rPr>
                  <w:rFonts w:ascii="Garamond" w:hAnsi="Garamond"/>
                  <w:noProof/>
                  <w:sz w:val="24"/>
                  <w:szCs w:val="24"/>
                </w:rPr>
                <w:t>Al</w:t>
              </w:r>
              <w:r w:rsidR="002044DC" w:rsidRPr="00D22CCA">
                <w:rPr>
                  <w:rFonts w:ascii="Garamond" w:hAnsi="Garamond"/>
                  <w:noProof/>
                  <w:sz w:val="24"/>
                  <w:szCs w:val="24"/>
                </w:rPr>
                <w:t xml:space="preserve">-Kasani, A. A. (1986). </w:t>
              </w:r>
              <w:r w:rsidR="002044DC" w:rsidRPr="00D22CCA">
                <w:rPr>
                  <w:rFonts w:ascii="Garamond" w:hAnsi="Garamond"/>
                  <w:i/>
                  <w:iCs/>
                  <w:noProof/>
                  <w:sz w:val="24"/>
                  <w:szCs w:val="24"/>
                </w:rPr>
                <w:t>Bada’i Al-Sana’I Fi Tartib Al-Syara’i.</w:t>
              </w:r>
              <w:r w:rsidR="002044DC" w:rsidRPr="00D22CCA">
                <w:rPr>
                  <w:rFonts w:ascii="Garamond" w:hAnsi="Garamond"/>
                  <w:noProof/>
                  <w:sz w:val="24"/>
                  <w:szCs w:val="24"/>
                </w:rPr>
                <w:t xml:space="preserve"> Cairo: Dar al-Kutub al-Alamiyah.</w:t>
              </w:r>
            </w:p>
            <w:p w14:paraId="214B6A01"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al-Kharsi, M. b. (1999). </w:t>
              </w:r>
              <w:r w:rsidRPr="00D22CCA">
                <w:rPr>
                  <w:rFonts w:ascii="Garamond" w:hAnsi="Garamond"/>
                  <w:i/>
                  <w:iCs/>
                  <w:noProof/>
                  <w:sz w:val="24"/>
                  <w:szCs w:val="24"/>
                </w:rPr>
                <w:t>Syarh Mukhtashar Khalil Li Al-Kharsi, Beirut: Dar al-Fikr al-Arabu.</w:t>
              </w:r>
              <w:r w:rsidRPr="00D22CCA">
                <w:rPr>
                  <w:rFonts w:ascii="Garamond" w:hAnsi="Garamond"/>
                  <w:noProof/>
                  <w:sz w:val="24"/>
                  <w:szCs w:val="24"/>
                </w:rPr>
                <w:t xml:space="preserve"> Beirut: Dar al-Fikr al-Arabu.</w:t>
              </w:r>
            </w:p>
            <w:p w14:paraId="652E76A9"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al-Sarkhasi, M. b. (1993). </w:t>
              </w:r>
              <w:r w:rsidRPr="00D22CCA">
                <w:rPr>
                  <w:rFonts w:ascii="Garamond" w:hAnsi="Garamond"/>
                  <w:i/>
                  <w:iCs/>
                  <w:noProof/>
                  <w:sz w:val="24"/>
                  <w:szCs w:val="24"/>
                </w:rPr>
                <w:t>Al-Mabsuth.</w:t>
              </w:r>
              <w:r w:rsidRPr="00D22CCA">
                <w:rPr>
                  <w:rFonts w:ascii="Garamond" w:hAnsi="Garamond"/>
                  <w:noProof/>
                  <w:sz w:val="24"/>
                  <w:szCs w:val="24"/>
                </w:rPr>
                <w:t xml:space="preserve"> Beirut: Dar al-Mar’rifah.</w:t>
              </w:r>
            </w:p>
            <w:p w14:paraId="428B2A7B"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Asyur, M. a.-T. (1988). </w:t>
              </w:r>
              <w:r w:rsidRPr="00D22CCA">
                <w:rPr>
                  <w:rFonts w:ascii="Garamond" w:hAnsi="Garamond"/>
                  <w:i/>
                  <w:iCs/>
                  <w:noProof/>
                  <w:sz w:val="24"/>
                  <w:szCs w:val="24"/>
                </w:rPr>
                <w:t>Maqasid al-Syariah al-Islamiyyah.</w:t>
              </w:r>
              <w:r w:rsidRPr="00D22CCA">
                <w:rPr>
                  <w:rFonts w:ascii="Garamond" w:hAnsi="Garamond"/>
                  <w:noProof/>
                  <w:sz w:val="24"/>
                  <w:szCs w:val="24"/>
                </w:rPr>
                <w:t xml:space="preserve"> Tunisia: al-Syirkah al-Tunisiyah.</w:t>
              </w:r>
            </w:p>
            <w:p w14:paraId="6FE9788A"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Az-Zuhaili, W. (2010)). </w:t>
              </w:r>
              <w:r w:rsidRPr="00D22CCA">
                <w:rPr>
                  <w:rFonts w:ascii="Garamond" w:hAnsi="Garamond"/>
                  <w:i/>
                  <w:iCs/>
                  <w:noProof/>
                  <w:sz w:val="24"/>
                  <w:szCs w:val="24"/>
                </w:rPr>
                <w:t>Fiqih Islam Wa Adillatuhu.</w:t>
              </w:r>
              <w:r w:rsidRPr="00D22CCA">
                <w:rPr>
                  <w:rFonts w:ascii="Garamond" w:hAnsi="Garamond"/>
                  <w:noProof/>
                  <w:sz w:val="24"/>
                  <w:szCs w:val="24"/>
                </w:rPr>
                <w:t xml:space="preserve"> Jakarta: Gema Insani.</w:t>
              </w:r>
            </w:p>
            <w:p w14:paraId="6AC22763"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Creswell, J. (2015). </w:t>
              </w:r>
              <w:r w:rsidRPr="00D22CCA">
                <w:rPr>
                  <w:rFonts w:ascii="Garamond" w:hAnsi="Garamond"/>
                  <w:i/>
                  <w:iCs/>
                  <w:noProof/>
                  <w:sz w:val="24"/>
                  <w:szCs w:val="24"/>
                </w:rPr>
                <w:t>Research Design: Pendekatan Kualitatif, Kuantitatif, dan Mixed.</w:t>
              </w:r>
              <w:r w:rsidRPr="00D22CCA">
                <w:rPr>
                  <w:rFonts w:ascii="Garamond" w:hAnsi="Garamond"/>
                  <w:noProof/>
                  <w:sz w:val="24"/>
                  <w:szCs w:val="24"/>
                </w:rPr>
                <w:t xml:space="preserve"> Yogyakarta: Pustaka Pelajar.</w:t>
              </w:r>
            </w:p>
            <w:p w14:paraId="356DF87A"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Fitri, A. B. (2018). Eksistensi Mahar Pernikahan dalam Islam. </w:t>
              </w:r>
              <w:r w:rsidRPr="00D22CCA">
                <w:rPr>
                  <w:rFonts w:ascii="Garamond" w:hAnsi="Garamond"/>
                  <w:i/>
                  <w:iCs/>
                  <w:noProof/>
                  <w:sz w:val="24"/>
                  <w:szCs w:val="24"/>
                </w:rPr>
                <w:t xml:space="preserve">Jurnal Usratuna Volume 2, no.1 </w:t>
              </w:r>
              <w:r w:rsidRPr="00D22CCA">
                <w:rPr>
                  <w:rFonts w:ascii="Garamond" w:hAnsi="Garamond"/>
                  <w:noProof/>
                  <w:sz w:val="24"/>
                  <w:szCs w:val="24"/>
                </w:rPr>
                <w:t>, 2.</w:t>
              </w:r>
            </w:p>
            <w:p w14:paraId="56E22F4B"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Hafid. (2021). Analisis Konsep Mahar Berupa Hafalan Ayat Al-Qur’an dalam Perspektif Madzhibul Arbaah. </w:t>
              </w:r>
              <w:r w:rsidRPr="00D22CCA">
                <w:rPr>
                  <w:rFonts w:ascii="Garamond" w:hAnsi="Garamond"/>
                  <w:i/>
                  <w:iCs/>
                  <w:noProof/>
                  <w:sz w:val="24"/>
                  <w:szCs w:val="24"/>
                </w:rPr>
                <w:t xml:space="preserve">Jurnal Sirajuddin Volume 1, no.1 </w:t>
              </w:r>
              <w:r w:rsidRPr="00D22CCA">
                <w:rPr>
                  <w:rFonts w:ascii="Garamond" w:hAnsi="Garamond"/>
                  <w:noProof/>
                  <w:sz w:val="24"/>
                  <w:szCs w:val="24"/>
                </w:rPr>
                <w:t>, 1.</w:t>
              </w:r>
            </w:p>
            <w:p w14:paraId="3E3D3B52"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Hamid, M. M. (1942). </w:t>
              </w:r>
              <w:r w:rsidRPr="00D22CCA">
                <w:rPr>
                  <w:rFonts w:ascii="Garamond" w:hAnsi="Garamond"/>
                  <w:i/>
                  <w:iCs/>
                  <w:noProof/>
                  <w:sz w:val="24"/>
                  <w:szCs w:val="24"/>
                </w:rPr>
                <w:t>Al-Ahwal Al-Syakhsiyyah Fi Shari’atil Islamiyyah.</w:t>
              </w:r>
              <w:r w:rsidRPr="00D22CCA">
                <w:rPr>
                  <w:rFonts w:ascii="Garamond" w:hAnsi="Garamond"/>
                  <w:noProof/>
                  <w:sz w:val="24"/>
                  <w:szCs w:val="24"/>
                </w:rPr>
                <w:t xml:space="preserve"> Muhammad Muhyiddin Abdul Hamid, Al-Ahwal Al-Syakhsiyyah Fi Shari’atil Islamiyyah, Mesir: Maktabah at-Taijariyyah, (1942 M), hlm. 163.: Maktabah at-Taijariyyah.</w:t>
              </w:r>
            </w:p>
            <w:p w14:paraId="4E1981EB"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Hasan, M. (2011). </w:t>
              </w:r>
              <w:r w:rsidRPr="00D22CCA">
                <w:rPr>
                  <w:rFonts w:ascii="Garamond" w:hAnsi="Garamond"/>
                  <w:i/>
                  <w:iCs/>
                  <w:noProof/>
                  <w:sz w:val="24"/>
                  <w:szCs w:val="24"/>
                </w:rPr>
                <w:t>Pengantar Hukum Keluarga.</w:t>
              </w:r>
              <w:r w:rsidRPr="00D22CCA">
                <w:rPr>
                  <w:rFonts w:ascii="Garamond" w:hAnsi="Garamond"/>
                  <w:noProof/>
                  <w:sz w:val="24"/>
                  <w:szCs w:val="24"/>
                </w:rPr>
                <w:t xml:space="preserve"> Bandung: CV Pustaka Setia.</w:t>
              </w:r>
            </w:p>
            <w:p w14:paraId="4399F900"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Husen, H. (2022). Husen, Hamdani dkk, “Tradisi dan Status Sosial dalam Penetapan Mahar Perkawinan di Gampong Mamplam Aceh Utara”, Jurnal Ilmu Sosial dan Ilmu Politik Malikushaleh, Volume 3, no. 1, (2022): hlm.1. </w:t>
              </w:r>
              <w:r w:rsidRPr="00D22CCA">
                <w:rPr>
                  <w:rFonts w:ascii="Garamond" w:hAnsi="Garamond"/>
                  <w:i/>
                  <w:iCs/>
                  <w:noProof/>
                  <w:sz w:val="24"/>
                  <w:szCs w:val="24"/>
                </w:rPr>
                <w:t>Jurnal Ilmu Sosial dan Ilmu Politik Malikushaleh, Volume 3, no. 1</w:t>
              </w:r>
              <w:r w:rsidRPr="00D22CCA">
                <w:rPr>
                  <w:rFonts w:ascii="Garamond" w:hAnsi="Garamond"/>
                  <w:noProof/>
                  <w:sz w:val="24"/>
                  <w:szCs w:val="24"/>
                </w:rPr>
                <w:t>, 1.</w:t>
              </w:r>
            </w:p>
            <w:p w14:paraId="04F24CAC"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Jayusman, I. I. (2019). Mahar Hafalan al-Qur’an Perspektif Hukum Islam. </w:t>
              </w:r>
              <w:r w:rsidRPr="00D22CCA">
                <w:rPr>
                  <w:rFonts w:ascii="Garamond" w:hAnsi="Garamond"/>
                  <w:i/>
                  <w:iCs/>
                  <w:noProof/>
                  <w:sz w:val="24"/>
                  <w:szCs w:val="24"/>
                </w:rPr>
                <w:t xml:space="preserve">PALITA: Journal of Social-Religion Research, Volume 4 no.2 </w:t>
              </w:r>
              <w:r w:rsidRPr="00D22CCA">
                <w:rPr>
                  <w:rFonts w:ascii="Garamond" w:hAnsi="Garamond"/>
                  <w:noProof/>
                  <w:sz w:val="24"/>
                  <w:szCs w:val="24"/>
                </w:rPr>
                <w:t>, 13.</w:t>
              </w:r>
            </w:p>
            <w:p w14:paraId="5E740387"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Munawwarah, S. d. (2020). Adat Pernikaha dan Nilai-Nilai Islami dalam Masyarakat Aceh Menurut Hukum Islam. </w:t>
              </w:r>
              <w:r w:rsidRPr="00D22CCA">
                <w:rPr>
                  <w:rFonts w:ascii="Garamond" w:hAnsi="Garamond"/>
                  <w:i/>
                  <w:iCs/>
                  <w:noProof/>
                  <w:sz w:val="24"/>
                  <w:szCs w:val="24"/>
                </w:rPr>
                <w:t>El-USRAH: Jurnal Hukum Keluarga Volume 3, no.2</w:t>
              </w:r>
              <w:r w:rsidRPr="00D22CCA">
                <w:rPr>
                  <w:rFonts w:ascii="Garamond" w:hAnsi="Garamond"/>
                  <w:noProof/>
                  <w:sz w:val="24"/>
                  <w:szCs w:val="24"/>
                </w:rPr>
                <w:t>, 289-302.</w:t>
              </w:r>
            </w:p>
            <w:p w14:paraId="23B82FDB"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Musarrofa, I. (2021). ren Mahar di Era Digital (Tinjauan Sosiologi Hukum Islam Penggunaan Mahar Digital di Komunitas Dunia Cyber). </w:t>
              </w:r>
              <w:r w:rsidRPr="00D22CCA">
                <w:rPr>
                  <w:rFonts w:ascii="Garamond" w:hAnsi="Garamond"/>
                  <w:i/>
                  <w:iCs/>
                  <w:noProof/>
                  <w:sz w:val="24"/>
                  <w:szCs w:val="24"/>
                </w:rPr>
                <w:t>Jurnal Hukum Islam Volume 19, no.1</w:t>
              </w:r>
              <w:r w:rsidRPr="00D22CCA">
                <w:rPr>
                  <w:rFonts w:ascii="Garamond" w:hAnsi="Garamond"/>
                  <w:noProof/>
                  <w:sz w:val="24"/>
                  <w:szCs w:val="24"/>
                </w:rPr>
                <w:t>, 1.</w:t>
              </w:r>
            </w:p>
            <w:p w14:paraId="6C10A7EB"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Sinaiki, M. b. (199). </w:t>
              </w:r>
              <w:r w:rsidRPr="00D22CCA">
                <w:rPr>
                  <w:rFonts w:ascii="Garamond" w:hAnsi="Garamond"/>
                  <w:i/>
                  <w:iCs/>
                  <w:noProof/>
                  <w:sz w:val="24"/>
                  <w:szCs w:val="24"/>
                </w:rPr>
                <w:t>Fath Al-Wahab Bi Syarh Minhaj At-Tullab, Beirut: Dar al-Fikr.</w:t>
              </w:r>
              <w:r w:rsidRPr="00D22CCA">
                <w:rPr>
                  <w:rFonts w:ascii="Garamond" w:hAnsi="Garamond"/>
                  <w:noProof/>
                  <w:sz w:val="24"/>
                  <w:szCs w:val="24"/>
                </w:rPr>
                <w:t xml:space="preserve"> Beirut: Dar al-Fikr.</w:t>
              </w:r>
            </w:p>
            <w:p w14:paraId="5606C786" w14:textId="77777777" w:rsidR="002044DC" w:rsidRPr="00D22CCA" w:rsidRDefault="002044DC" w:rsidP="002044DC">
              <w:pPr>
                <w:pStyle w:val="Bibliography"/>
                <w:rPr>
                  <w:rFonts w:ascii="Garamond" w:hAnsi="Garamond"/>
                  <w:noProof/>
                  <w:sz w:val="24"/>
                  <w:szCs w:val="24"/>
                </w:rPr>
              </w:pPr>
              <w:r w:rsidRPr="00D22CCA">
                <w:rPr>
                  <w:rFonts w:ascii="Garamond" w:hAnsi="Garamond"/>
                  <w:noProof/>
                  <w:sz w:val="24"/>
                  <w:szCs w:val="24"/>
                </w:rPr>
                <w:t xml:space="preserve">Tarigan, A. N. (2016). </w:t>
              </w:r>
              <w:r w:rsidRPr="00D22CCA">
                <w:rPr>
                  <w:rFonts w:ascii="Garamond" w:hAnsi="Garamond"/>
                  <w:i/>
                  <w:iCs/>
                  <w:noProof/>
                  <w:sz w:val="24"/>
                  <w:szCs w:val="24"/>
                </w:rPr>
                <w:t>Hukum Perdata Islam di Indonesia.</w:t>
              </w:r>
              <w:r w:rsidRPr="00D22CCA">
                <w:rPr>
                  <w:rFonts w:ascii="Garamond" w:hAnsi="Garamond"/>
                  <w:noProof/>
                  <w:sz w:val="24"/>
                  <w:szCs w:val="24"/>
                </w:rPr>
                <w:t xml:space="preserve"> Jakarta: Kencana Prenada Media Group.</w:t>
              </w:r>
            </w:p>
            <w:p w14:paraId="2FE380C0" w14:textId="3E6B3B0E" w:rsidR="002044DC" w:rsidRDefault="002044DC" w:rsidP="002044DC">
              <w:r w:rsidRPr="00D22CCA">
                <w:rPr>
                  <w:rFonts w:ascii="Garamond" w:hAnsi="Garamond"/>
                  <w:b/>
                  <w:bCs/>
                  <w:noProof/>
                  <w:sz w:val="24"/>
                  <w:szCs w:val="24"/>
                </w:rPr>
                <w:fldChar w:fldCharType="end"/>
              </w:r>
            </w:p>
          </w:sdtContent>
        </w:sdt>
      </w:sdtContent>
    </w:sdt>
    <w:p w14:paraId="4B03DF20" w14:textId="77777777" w:rsidR="00FC3FFA" w:rsidRDefault="00FC3FFA" w:rsidP="00427B7B">
      <w:pPr>
        <w:ind w:firstLine="0"/>
        <w:rPr>
          <w:rFonts w:ascii="Book Antiqua" w:hAnsi="Book Antiqua"/>
          <w:sz w:val="24"/>
          <w:szCs w:val="24"/>
          <w:lang w:val="en-AU"/>
        </w:rPr>
      </w:pPr>
    </w:p>
    <w:tbl>
      <w:tblPr>
        <w:tblW w:w="0" w:type="auto"/>
        <w:jc w:val="center"/>
        <w:tblLook w:val="04A0" w:firstRow="1" w:lastRow="0" w:firstColumn="1" w:lastColumn="0" w:noHBand="0" w:noVBand="1"/>
      </w:tblPr>
      <w:tblGrid>
        <w:gridCol w:w="1765"/>
        <w:gridCol w:w="5674"/>
      </w:tblGrid>
      <w:tr w:rsidR="00FC3FFA" w:rsidRPr="00974FEE" w14:paraId="2AE0AAF8" w14:textId="77777777" w:rsidTr="00632C61">
        <w:trPr>
          <w:jc w:val="center"/>
        </w:trPr>
        <w:tc>
          <w:tcPr>
            <w:tcW w:w="0" w:type="auto"/>
            <w:vAlign w:val="center"/>
          </w:tcPr>
          <w:p w14:paraId="6E93ACCF" w14:textId="77777777" w:rsidR="00FC3FFA" w:rsidRPr="00974FEE" w:rsidRDefault="00F22C48" w:rsidP="00632C61">
            <w:pPr>
              <w:pStyle w:val="JW71References"/>
            </w:pPr>
            <w:bookmarkStart w:id="5" w:name="_Hlk146368124"/>
            <w:r>
              <w:rPr>
                <w:lang w:val="en-AU" w:eastAsia="en-AU"/>
              </w:rPr>
              <w:drawing>
                <wp:inline distT="0" distB="0" distL="0" distR="0" wp14:anchorId="2DA5B4D4" wp14:editId="4916E5B5">
                  <wp:extent cx="983615" cy="344805"/>
                  <wp:effectExtent l="0" t="0" r="0" b="0"/>
                  <wp:docPr id="2" name="Picture 2" descr="Description: 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isensi Creative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344805"/>
                          </a:xfrm>
                          <a:prstGeom prst="rect">
                            <a:avLst/>
                          </a:prstGeom>
                          <a:noFill/>
                          <a:ln>
                            <a:noFill/>
                          </a:ln>
                        </pic:spPr>
                      </pic:pic>
                    </a:graphicData>
                  </a:graphic>
                </wp:inline>
              </w:drawing>
            </w:r>
          </w:p>
        </w:tc>
        <w:tc>
          <w:tcPr>
            <w:tcW w:w="7149" w:type="dxa"/>
            <w:vAlign w:val="center"/>
          </w:tcPr>
          <w:p w14:paraId="32596767" w14:textId="4091ECE9" w:rsidR="00FC3FFA" w:rsidRPr="00F22CB2" w:rsidRDefault="007526F6" w:rsidP="00632C61">
            <w:pPr>
              <w:pStyle w:val="JW71References"/>
              <w:rPr>
                <w:rFonts w:ascii="Garamond" w:hAnsi="Garamond"/>
              </w:rPr>
            </w:pPr>
            <w:r>
              <w:rPr>
                <w:rFonts w:ascii="Garamond" w:hAnsi="Garamond"/>
              </w:rPr>
              <w:t>© 202</w:t>
            </w:r>
            <w:r w:rsidR="00914C58">
              <w:rPr>
                <w:rFonts w:ascii="Garamond" w:hAnsi="Garamond"/>
              </w:rPr>
              <w:t>3</w:t>
            </w:r>
            <w:r w:rsidR="00FC3FFA" w:rsidRPr="00F22CB2">
              <w:rPr>
                <w:rFonts w:ascii="Garamond" w:hAnsi="Garamond"/>
              </w:rPr>
              <w:t xml:space="preserve"> by the authors. Submitted for possible open access publication under the terms and conditions of the Creative Commons Attribution </w:t>
            </w:r>
            <w:r>
              <w:rPr>
                <w:rFonts w:ascii="Garamond" w:hAnsi="Garamond"/>
              </w:rPr>
              <w:t xml:space="preserve">ShareAlike </w:t>
            </w:r>
            <w:r w:rsidR="00FC3FFA" w:rsidRPr="00F22CB2">
              <w:rPr>
                <w:rFonts w:ascii="Garamond" w:hAnsi="Garamond"/>
              </w:rPr>
              <w:t>(CC BY SA) license (https://creativecommons.org/licenses/by-sa/</w:t>
            </w:r>
            <w:r w:rsidR="00251E34">
              <w:rPr>
                <w:rFonts w:ascii="Garamond" w:hAnsi="Garamond"/>
              </w:rPr>
              <w:t>4</w:t>
            </w:r>
            <w:r w:rsidR="00FC3FFA" w:rsidRPr="00F22CB2">
              <w:rPr>
                <w:rFonts w:ascii="Garamond" w:hAnsi="Garamond"/>
              </w:rPr>
              <w:t>.0/).</w:t>
            </w:r>
          </w:p>
        </w:tc>
      </w:tr>
      <w:bookmarkEnd w:id="5"/>
    </w:tbl>
    <w:p w14:paraId="080BA9B0" w14:textId="3F271918" w:rsidR="00FC3FFA" w:rsidRDefault="00FC3FFA" w:rsidP="00FC3FFA">
      <w:pPr>
        <w:ind w:left="720" w:hanging="720"/>
        <w:rPr>
          <w:rFonts w:asciiTheme="majorHAnsi" w:hAnsiTheme="majorHAnsi"/>
          <w:b/>
          <w:bCs/>
          <w:sz w:val="24"/>
          <w:szCs w:val="24"/>
        </w:rPr>
      </w:pPr>
    </w:p>
    <w:p w14:paraId="59FA8E9A" w14:textId="7C3D7E76" w:rsidR="00A01B3E" w:rsidRDefault="00A01B3E" w:rsidP="00FC3FFA">
      <w:pPr>
        <w:ind w:left="720" w:hanging="720"/>
        <w:rPr>
          <w:rFonts w:asciiTheme="majorHAnsi" w:hAnsiTheme="majorHAnsi"/>
          <w:b/>
          <w:bCs/>
          <w:sz w:val="24"/>
          <w:szCs w:val="24"/>
        </w:rPr>
      </w:pPr>
    </w:p>
    <w:p w14:paraId="5E2970DF" w14:textId="77777777" w:rsidR="00A01B3E" w:rsidRPr="006620A2" w:rsidRDefault="00A01B3E" w:rsidP="00FC3FFA">
      <w:pPr>
        <w:ind w:left="720" w:hanging="720"/>
        <w:rPr>
          <w:rFonts w:asciiTheme="majorHAnsi" w:hAnsiTheme="majorHAnsi"/>
          <w:b/>
          <w:bCs/>
          <w:sz w:val="24"/>
          <w:szCs w:val="24"/>
        </w:rPr>
      </w:pPr>
    </w:p>
    <w:sectPr w:rsidR="00A01B3E" w:rsidRPr="006620A2" w:rsidSect="00A01B3E">
      <w:headerReference w:type="even" r:id="rId10"/>
      <w:headerReference w:type="default" r:id="rId11"/>
      <w:footerReference w:type="even" r:id="rId12"/>
      <w:footerReference w:type="default" r:id="rId13"/>
      <w:headerReference w:type="first" r:id="rId14"/>
      <w:footerReference w:type="first" r:id="rId15"/>
      <w:pgSz w:w="10319" w:h="14572" w:code="13"/>
      <w:pgMar w:top="1440" w:right="1440" w:bottom="1440" w:left="1440" w:header="720" w:footer="720" w:gutter="0"/>
      <w:pgNumType w:start="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8223" w14:textId="77777777" w:rsidR="00E27543" w:rsidRDefault="00E27543" w:rsidP="0013415B">
      <w:pPr>
        <w:spacing w:line="240" w:lineRule="auto"/>
      </w:pPr>
      <w:r>
        <w:separator/>
      </w:r>
    </w:p>
  </w:endnote>
  <w:endnote w:type="continuationSeparator" w:id="0">
    <w:p w14:paraId="05296E20" w14:textId="77777777" w:rsidR="00E27543" w:rsidRDefault="00E27543" w:rsidP="00134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1561" w14:textId="77777777" w:rsidR="00F74D9A" w:rsidRPr="00DE5808" w:rsidRDefault="00BB7F3D" w:rsidP="00BB7F3D">
    <w:pPr>
      <w:pStyle w:val="Header"/>
      <w:ind w:firstLine="0"/>
      <w:rPr>
        <w:rFonts w:ascii="Book Antiqua" w:hAnsi="Book Antiqua"/>
        <w:b/>
        <w:bCs/>
        <w:sz w:val="20"/>
        <w:szCs w:val="20"/>
      </w:rPr>
    </w:pPr>
    <w:r w:rsidRPr="00DE5808">
      <w:rPr>
        <w:rFonts w:ascii="Book Antiqua" w:hAnsi="Book Antiqua"/>
        <w:sz w:val="20"/>
        <w:szCs w:val="20"/>
      </w:rPr>
      <w:fldChar w:fldCharType="begin"/>
    </w:r>
    <w:r w:rsidRPr="00DE5808">
      <w:rPr>
        <w:rFonts w:ascii="Book Antiqua" w:hAnsi="Book Antiqua"/>
        <w:sz w:val="20"/>
        <w:szCs w:val="20"/>
      </w:rPr>
      <w:instrText xml:space="preserve"> PAGE   \* MERGEFORMAT </w:instrText>
    </w:r>
    <w:r w:rsidRPr="00DE5808">
      <w:rPr>
        <w:rFonts w:ascii="Book Antiqua" w:hAnsi="Book Antiqua"/>
        <w:sz w:val="20"/>
        <w:szCs w:val="20"/>
      </w:rPr>
      <w:fldChar w:fldCharType="separate"/>
    </w:r>
    <w:r w:rsidR="007526F6" w:rsidRPr="007526F6">
      <w:rPr>
        <w:rFonts w:ascii="Book Antiqua" w:hAnsi="Book Antiqua"/>
        <w:b/>
        <w:bCs/>
        <w:noProof/>
        <w:sz w:val="20"/>
        <w:szCs w:val="20"/>
      </w:rPr>
      <w:t>2</w:t>
    </w:r>
    <w:r w:rsidRPr="00DE5808">
      <w:rPr>
        <w:rFonts w:ascii="Book Antiqua" w:hAnsi="Book Antiqua"/>
        <w:sz w:val="20"/>
        <w:szCs w:val="20"/>
      </w:rPr>
      <w:fldChar w:fldCharType="end"/>
    </w:r>
    <w:r w:rsidRPr="00DE5808">
      <w:rPr>
        <w:rFonts w:ascii="Book Antiqua" w:hAnsi="Book Antiqua"/>
        <w:b/>
        <w:b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1001" w14:textId="77777777" w:rsidR="00BB7F3D" w:rsidRPr="00DE5808" w:rsidRDefault="00BB7F3D" w:rsidP="00BB7F3D">
    <w:pPr>
      <w:pStyle w:val="Header"/>
      <w:jc w:val="right"/>
      <w:rPr>
        <w:rFonts w:ascii="Book Antiqua" w:hAnsi="Book Antiqua"/>
        <w:b/>
        <w:bCs/>
        <w:sz w:val="20"/>
        <w:szCs w:val="20"/>
      </w:rPr>
    </w:pPr>
    <w:r w:rsidRPr="00DE5808">
      <w:rPr>
        <w:rFonts w:ascii="Book Antiqua" w:hAnsi="Book Antiqua"/>
        <w:b/>
        <w:bCs/>
        <w:sz w:val="20"/>
        <w:szCs w:val="20"/>
      </w:rPr>
      <w:fldChar w:fldCharType="begin"/>
    </w:r>
    <w:r w:rsidRPr="00DE5808">
      <w:rPr>
        <w:rFonts w:ascii="Book Antiqua" w:hAnsi="Book Antiqua"/>
        <w:b/>
        <w:bCs/>
        <w:sz w:val="20"/>
        <w:szCs w:val="20"/>
      </w:rPr>
      <w:instrText xml:space="preserve"> PAGE   \* MERGEFORMAT </w:instrText>
    </w:r>
    <w:r w:rsidRPr="00DE5808">
      <w:rPr>
        <w:rFonts w:ascii="Book Antiqua" w:hAnsi="Book Antiqua"/>
        <w:b/>
        <w:bCs/>
        <w:sz w:val="20"/>
        <w:szCs w:val="20"/>
      </w:rPr>
      <w:fldChar w:fldCharType="separate"/>
    </w:r>
    <w:r w:rsidR="007526F6">
      <w:rPr>
        <w:rFonts w:ascii="Book Antiqua" w:hAnsi="Book Antiqua"/>
        <w:b/>
        <w:bCs/>
        <w:noProof/>
        <w:sz w:val="20"/>
        <w:szCs w:val="20"/>
      </w:rPr>
      <w:t>3</w:t>
    </w:r>
    <w:r w:rsidRPr="00DE5808">
      <w:rPr>
        <w:rFonts w:ascii="Book Antiqua" w:hAnsi="Book Antiqua"/>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4A54" w14:textId="77777777" w:rsidR="00BB7F3D" w:rsidRPr="00BB7F3D" w:rsidRDefault="00BB7F3D" w:rsidP="00BB7F3D">
    <w:pPr>
      <w:pStyle w:val="Header"/>
      <w:jc w:val="right"/>
      <w:rPr>
        <w:rFonts w:ascii="Book Antiqua" w:hAnsi="Book Antiqu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51B6" w14:textId="77777777" w:rsidR="00E27543" w:rsidRDefault="00E27543" w:rsidP="0013415B">
      <w:pPr>
        <w:spacing w:line="240" w:lineRule="auto"/>
      </w:pPr>
      <w:r>
        <w:separator/>
      </w:r>
    </w:p>
  </w:footnote>
  <w:footnote w:type="continuationSeparator" w:id="0">
    <w:p w14:paraId="4919D189" w14:textId="77777777" w:rsidR="00E27543" w:rsidRDefault="00E27543" w:rsidP="0013415B">
      <w:pPr>
        <w:spacing w:line="240" w:lineRule="auto"/>
      </w:pPr>
      <w:r>
        <w:continuationSeparator/>
      </w:r>
    </w:p>
  </w:footnote>
  <w:footnote w:id="1">
    <w:p w14:paraId="2A1BA8FF" w14:textId="4DC5DB7B" w:rsidR="005B3342" w:rsidRPr="009636CC" w:rsidRDefault="005B3342" w:rsidP="009636CC">
      <w:pPr>
        <w:rPr>
          <w:rFonts w:ascii="Garamond" w:hAnsi="Garamond"/>
          <w:sz w:val="24"/>
          <w:szCs w:val="24"/>
          <w:lang w:val="en-AU"/>
        </w:rPr>
      </w:pPr>
      <w:r>
        <w:rPr>
          <w:rStyle w:val="FootnoteReference"/>
        </w:rPr>
        <w:footnoteRef/>
      </w:r>
      <w:r>
        <w:t xml:space="preserve"> </w:t>
      </w:r>
      <w:r w:rsidRPr="005B3342">
        <w:rPr>
          <w:rFonts w:ascii="Garamond" w:hAnsi="Garamond"/>
          <w:sz w:val="20"/>
          <w:szCs w:val="20"/>
          <w:lang w:val="en-AU"/>
        </w:rPr>
        <w:t>Samad dan Munawwarah, “Adat Pernikaha dan Nilai-Nilai Islami dalam Masyarakat Aceh Menurut Hukum Islam”, El-USRAH: Jurnal Hukum Keluarga Volume 3, no.2, (2020): hlm. 289-302.</w:t>
      </w:r>
    </w:p>
  </w:footnote>
  <w:footnote w:id="2">
    <w:p w14:paraId="743FE0C6" w14:textId="2C7235D8" w:rsidR="009636CC" w:rsidRDefault="009636CC">
      <w:pPr>
        <w:pStyle w:val="FootnoteText"/>
      </w:pPr>
      <w:r>
        <w:rPr>
          <w:rStyle w:val="FootnoteReference"/>
        </w:rPr>
        <w:footnoteRef/>
      </w:r>
      <w:r>
        <w:t xml:space="preserve"> </w:t>
      </w:r>
      <w:r w:rsidRPr="009636CC">
        <w:rPr>
          <w:rFonts w:ascii="Garamond" w:hAnsi="Garamond"/>
          <w:lang w:val="en-AU"/>
        </w:rPr>
        <w:t>Amiur Nuruddin dan Azhari Akmal Tarigan, Hukum Perdata Islam di Indonesia. (Jakarta: Kencana Prenada Media Group, 2016), hlm. 64-67</w:t>
      </w:r>
      <w:r w:rsidR="003F7D88">
        <w:rPr>
          <w:rFonts w:ascii="Garamond" w:hAnsi="Garamond"/>
          <w:lang w:val="en-AU"/>
        </w:rPr>
        <w:t>.</w:t>
      </w:r>
    </w:p>
  </w:footnote>
  <w:footnote w:id="3">
    <w:p w14:paraId="5CA9896F" w14:textId="11057AC1" w:rsidR="0049312E" w:rsidRDefault="0049312E">
      <w:pPr>
        <w:pStyle w:val="FootnoteText"/>
      </w:pPr>
      <w:r>
        <w:rPr>
          <w:rStyle w:val="FootnoteReference"/>
        </w:rPr>
        <w:footnoteRef/>
      </w:r>
      <w:r>
        <w:t xml:space="preserve"> </w:t>
      </w:r>
      <w:r w:rsidRPr="0049312E">
        <w:rPr>
          <w:rFonts w:ascii="Garamond" w:hAnsi="Garamond"/>
        </w:rPr>
        <w:t>Noryamin Aini, “</w:t>
      </w:r>
      <w:r w:rsidRPr="0049312E">
        <w:rPr>
          <w:rFonts w:ascii="Garamond" w:hAnsi="Garamond"/>
          <w:i/>
          <w:iCs/>
        </w:rPr>
        <w:t>Tradisi Mahar di Ranah Lokalitas Umat Islam: Mahar dan Struktur Sosial di Masyarakat Muslim Indonesia</w:t>
      </w:r>
      <w:r w:rsidRPr="0049312E">
        <w:rPr>
          <w:rFonts w:ascii="Garamond" w:hAnsi="Garamond"/>
        </w:rPr>
        <w:t>”</w:t>
      </w:r>
      <w:r>
        <w:rPr>
          <w:rFonts w:ascii="Garamond" w:hAnsi="Garamond"/>
        </w:rPr>
        <w:t xml:space="preserve">, </w:t>
      </w:r>
      <w:r w:rsidRPr="0049312E">
        <w:rPr>
          <w:rFonts w:ascii="Garamond" w:hAnsi="Garamond"/>
        </w:rPr>
        <w:t>Jurnal Ahkam Volume XIV, no. 1 (Januari 2014): hlm. 13.</w:t>
      </w:r>
    </w:p>
  </w:footnote>
  <w:footnote w:id="4">
    <w:p w14:paraId="17633614" w14:textId="4DAD993E" w:rsidR="005B3342" w:rsidRDefault="005B3342">
      <w:pPr>
        <w:pStyle w:val="FootnoteText"/>
      </w:pPr>
      <w:r>
        <w:rPr>
          <w:rStyle w:val="FootnoteReference"/>
        </w:rPr>
        <w:footnoteRef/>
      </w:r>
      <w:r>
        <w:t xml:space="preserve"> </w:t>
      </w:r>
      <w:r w:rsidRPr="005B3342">
        <w:rPr>
          <w:rFonts w:ascii="Garamond" w:hAnsi="Garamond"/>
        </w:rPr>
        <w:t>Hafid, “</w:t>
      </w:r>
      <w:r w:rsidRPr="005B3342">
        <w:rPr>
          <w:rFonts w:ascii="Garamond" w:hAnsi="Garamond"/>
          <w:i/>
          <w:iCs/>
        </w:rPr>
        <w:t>Analisis Konsep Mahar Berupa Hafalan Ayat Al-Qur’an dalam Perspektif Madzhibul Arbaah</w:t>
      </w:r>
      <w:r w:rsidRPr="005B3342">
        <w:rPr>
          <w:rFonts w:ascii="Garamond" w:hAnsi="Garamond"/>
        </w:rPr>
        <w:t>,</w:t>
      </w:r>
      <w:r>
        <w:rPr>
          <w:rFonts w:ascii="Garamond" w:hAnsi="Garamond"/>
        </w:rPr>
        <w:t>”</w:t>
      </w:r>
      <w:r w:rsidRPr="005B3342">
        <w:rPr>
          <w:rFonts w:ascii="Garamond" w:hAnsi="Garamond"/>
        </w:rPr>
        <w:t xml:space="preserve"> Jurnal Sirajuddin Volume 1, no.1 (Desember 2021): hlm.1.</w:t>
      </w:r>
    </w:p>
  </w:footnote>
  <w:footnote w:id="5">
    <w:p w14:paraId="58E81FEB" w14:textId="10DF4BC9" w:rsidR="00EC3A4F" w:rsidRDefault="00EC3A4F">
      <w:pPr>
        <w:pStyle w:val="FootnoteText"/>
      </w:pPr>
      <w:r>
        <w:rPr>
          <w:rStyle w:val="FootnoteReference"/>
        </w:rPr>
        <w:footnoteRef/>
      </w:r>
      <w:r>
        <w:t xml:space="preserve"> </w:t>
      </w:r>
      <w:r w:rsidRPr="00C64E0D">
        <w:rPr>
          <w:rFonts w:ascii="Garamond" w:hAnsi="Garamond"/>
        </w:rPr>
        <w:t>Ita Musarrofa, “</w:t>
      </w:r>
      <w:r w:rsidRPr="00C64E0D">
        <w:rPr>
          <w:rFonts w:ascii="Garamond" w:hAnsi="Garamond"/>
          <w:i/>
          <w:iCs/>
        </w:rPr>
        <w:t>Tren Mahar di Era Digital (Tinjauan Sosiologi Hukum Islam Penggunaan Mahar Digital di Komunitas Dunia Cyber)</w:t>
      </w:r>
      <w:r w:rsidR="00C64E0D" w:rsidRPr="00C64E0D">
        <w:rPr>
          <w:rFonts w:ascii="Garamond" w:hAnsi="Garamond"/>
          <w:i/>
          <w:iCs/>
        </w:rPr>
        <w:t>”</w:t>
      </w:r>
      <w:r w:rsidRPr="00C64E0D">
        <w:rPr>
          <w:rFonts w:ascii="Garamond" w:hAnsi="Garamond"/>
          <w:i/>
          <w:iCs/>
        </w:rPr>
        <w:t>,</w:t>
      </w:r>
      <w:r w:rsidRPr="00C64E0D">
        <w:rPr>
          <w:rFonts w:ascii="Garamond" w:hAnsi="Garamond"/>
        </w:rPr>
        <w:t xml:space="preserve"> Jurnal</w:t>
      </w:r>
      <w:r w:rsidR="00C64E0D" w:rsidRPr="00C64E0D">
        <w:rPr>
          <w:rFonts w:ascii="Garamond" w:hAnsi="Garamond"/>
        </w:rPr>
        <w:t xml:space="preserve"> Hukum Islam Volume 19, no. 1 (2021): hlm.1.</w:t>
      </w:r>
    </w:p>
  </w:footnote>
  <w:footnote w:id="6">
    <w:p w14:paraId="3950C19D" w14:textId="65EBB524" w:rsidR="00692970" w:rsidRDefault="00692970">
      <w:pPr>
        <w:pStyle w:val="FootnoteText"/>
      </w:pPr>
      <w:r>
        <w:rPr>
          <w:rStyle w:val="FootnoteReference"/>
        </w:rPr>
        <w:footnoteRef/>
      </w:r>
      <w:r>
        <w:t xml:space="preserve"> </w:t>
      </w:r>
      <w:r w:rsidRPr="00692970">
        <w:rPr>
          <w:rFonts w:ascii="Garamond" w:hAnsi="Garamond"/>
        </w:rPr>
        <w:t xml:space="preserve">Husen, Hamdani dkk, </w:t>
      </w:r>
      <w:r w:rsidRPr="00692970">
        <w:rPr>
          <w:rFonts w:ascii="Garamond" w:hAnsi="Garamond"/>
          <w:i/>
          <w:iCs/>
        </w:rPr>
        <w:t>“Tradisi dan Status Sosial dalam Penetapan Mahar Perkawinan di Gampong Mamplam Aceh Utara</w:t>
      </w:r>
      <w:r>
        <w:rPr>
          <w:rFonts w:ascii="Garamond" w:hAnsi="Garamond"/>
        </w:rPr>
        <w:t>”</w:t>
      </w:r>
      <w:r w:rsidRPr="00692970">
        <w:rPr>
          <w:rFonts w:ascii="Garamond" w:hAnsi="Garamond"/>
        </w:rPr>
        <w:t>, Jurnal Ilmu Sosial dan Ilmu Politik Malikushaleh, Volume 3, no. 1, (2022): hlm.1.</w:t>
      </w:r>
    </w:p>
  </w:footnote>
  <w:footnote w:id="7">
    <w:p w14:paraId="0414CFAA" w14:textId="77777777" w:rsidR="00C03C72" w:rsidRDefault="00C03C72" w:rsidP="00C03C72">
      <w:pPr>
        <w:pStyle w:val="FootnoteText"/>
      </w:pPr>
      <w:r>
        <w:rPr>
          <w:rStyle w:val="FootnoteReference"/>
        </w:rPr>
        <w:footnoteRef/>
      </w:r>
      <w:r>
        <w:t xml:space="preserve"> </w:t>
      </w:r>
      <w:r w:rsidRPr="00FF4442">
        <w:rPr>
          <w:rFonts w:ascii="Garamond" w:hAnsi="Garamond"/>
        </w:rPr>
        <w:t>Creswell, J.W, “</w:t>
      </w:r>
      <w:r w:rsidRPr="00FF4442">
        <w:rPr>
          <w:rFonts w:ascii="Garamond" w:hAnsi="Garamond"/>
          <w:i/>
          <w:iCs/>
        </w:rPr>
        <w:t>Research Design: Pendekatan Kualitatif, Kuantitatif, dan Mixed</w:t>
      </w:r>
      <w:r w:rsidRPr="00FF4442">
        <w:rPr>
          <w:rFonts w:ascii="Garamond" w:hAnsi="Garamond"/>
        </w:rPr>
        <w:t>”, Yogyakarta: Pustaka Pelajar, (2015), hlm.5.</w:t>
      </w:r>
    </w:p>
  </w:footnote>
  <w:footnote w:id="8">
    <w:p w14:paraId="3FCA153D" w14:textId="3771962E" w:rsidR="00B21BF5" w:rsidRDefault="00B21BF5">
      <w:pPr>
        <w:pStyle w:val="FootnoteText"/>
      </w:pPr>
      <w:r>
        <w:rPr>
          <w:rStyle w:val="FootnoteReference"/>
        </w:rPr>
        <w:footnoteRef/>
      </w:r>
      <w:r>
        <w:t xml:space="preserve"> </w:t>
      </w:r>
      <w:r w:rsidRPr="00D83AA9">
        <w:rPr>
          <w:rFonts w:ascii="Garamond" w:hAnsi="Garamond"/>
        </w:rPr>
        <w:t xml:space="preserve">Muhammad Muhyiddin Abdul Hamid, </w:t>
      </w:r>
      <w:r w:rsidRPr="00D83AA9">
        <w:rPr>
          <w:rFonts w:ascii="Garamond" w:hAnsi="Garamond"/>
          <w:i/>
          <w:iCs/>
        </w:rPr>
        <w:t>Al-Ahwal Al-Syakhsiyyah Fi Shari’at</w:t>
      </w:r>
      <w:r w:rsidR="00D83AA9" w:rsidRPr="00D83AA9">
        <w:rPr>
          <w:rFonts w:ascii="Garamond" w:hAnsi="Garamond"/>
          <w:i/>
          <w:iCs/>
        </w:rPr>
        <w:t>il</w:t>
      </w:r>
      <w:r w:rsidRPr="00D83AA9">
        <w:rPr>
          <w:rFonts w:ascii="Garamond" w:hAnsi="Garamond"/>
          <w:i/>
          <w:iCs/>
        </w:rPr>
        <w:t xml:space="preserve"> Islamiyyah</w:t>
      </w:r>
      <w:r w:rsidR="00D83AA9" w:rsidRPr="00D83AA9">
        <w:rPr>
          <w:rFonts w:ascii="Garamond" w:hAnsi="Garamond"/>
        </w:rPr>
        <w:t>, Mesir: Maktabah at-Taijariyyah, (1942 M), hlm. 163.</w:t>
      </w:r>
    </w:p>
  </w:footnote>
  <w:footnote w:id="9">
    <w:p w14:paraId="41CE78BC" w14:textId="19915763" w:rsidR="00EC79D3" w:rsidRPr="00F2761F" w:rsidRDefault="00EC79D3">
      <w:pPr>
        <w:pStyle w:val="FootnoteText"/>
        <w:rPr>
          <w:rFonts w:ascii="Garamond" w:hAnsi="Garamond"/>
        </w:rPr>
      </w:pPr>
      <w:r w:rsidRPr="00F2761F">
        <w:rPr>
          <w:rStyle w:val="FootnoteReference"/>
          <w:rFonts w:ascii="Garamond" w:hAnsi="Garamond"/>
        </w:rPr>
        <w:footnoteRef/>
      </w:r>
      <w:r w:rsidRPr="00F2761F">
        <w:rPr>
          <w:rFonts w:ascii="Garamond" w:hAnsi="Garamond"/>
        </w:rPr>
        <w:t xml:space="preserve"> Sa’di Abu Habib, </w:t>
      </w:r>
      <w:r w:rsidRPr="00F2761F">
        <w:rPr>
          <w:rFonts w:ascii="Garamond" w:hAnsi="Garamond"/>
          <w:i/>
          <w:iCs/>
        </w:rPr>
        <w:t>Al-Qamus Al-Fiqhi</w:t>
      </w:r>
      <w:r w:rsidRPr="00F2761F">
        <w:rPr>
          <w:rFonts w:ascii="Garamond" w:hAnsi="Garamond"/>
        </w:rPr>
        <w:t>, Damaskus: Dar al-Fikr al-Arabi, (1988)</w:t>
      </w:r>
    </w:p>
  </w:footnote>
  <w:footnote w:id="10">
    <w:p w14:paraId="70958A72" w14:textId="2B08AF05" w:rsidR="00EC79D3" w:rsidRPr="00C70FDC" w:rsidRDefault="00EC79D3">
      <w:pPr>
        <w:pStyle w:val="FootnoteText"/>
        <w:rPr>
          <w:rFonts w:ascii="Garamond" w:hAnsi="Garamond"/>
        </w:rPr>
      </w:pPr>
      <w:r w:rsidRPr="00F2761F">
        <w:rPr>
          <w:rStyle w:val="FootnoteReference"/>
          <w:rFonts w:ascii="Garamond" w:hAnsi="Garamond"/>
        </w:rPr>
        <w:footnoteRef/>
      </w:r>
      <w:r w:rsidRPr="00F2761F">
        <w:rPr>
          <w:rFonts w:ascii="Garamond" w:hAnsi="Garamond"/>
        </w:rPr>
        <w:t xml:space="preserve"> </w:t>
      </w:r>
      <w:r w:rsidRPr="00C70FDC">
        <w:rPr>
          <w:rFonts w:ascii="Garamond" w:hAnsi="Garamond"/>
        </w:rPr>
        <w:t xml:space="preserve">Hamid Abdul Kadir, </w:t>
      </w:r>
      <w:r w:rsidRPr="00C70FDC">
        <w:rPr>
          <w:rFonts w:ascii="Garamond" w:hAnsi="Garamond"/>
          <w:i/>
          <w:iCs/>
        </w:rPr>
        <w:t>Al-Mu’jam Al-Wasit,</w:t>
      </w:r>
      <w:r w:rsidRPr="00C70FDC">
        <w:rPr>
          <w:rFonts w:ascii="Garamond" w:hAnsi="Garamond"/>
        </w:rPr>
        <w:t xml:space="preserve"> Cairo: Dar al-Da’wah al-Alamiyah</w:t>
      </w:r>
      <w:r w:rsidR="00CA3E64" w:rsidRPr="00C70FDC">
        <w:rPr>
          <w:rFonts w:ascii="Garamond" w:hAnsi="Garamond"/>
        </w:rPr>
        <w:t>, t.th.</w:t>
      </w:r>
    </w:p>
  </w:footnote>
  <w:footnote w:id="11">
    <w:p w14:paraId="4D1FE8A4" w14:textId="357555DD" w:rsidR="00736EE1" w:rsidRPr="00C70FDC" w:rsidRDefault="00736EE1">
      <w:pPr>
        <w:pStyle w:val="FootnoteText"/>
        <w:rPr>
          <w:rFonts w:ascii="Garamond" w:hAnsi="Garamond"/>
        </w:rPr>
      </w:pPr>
      <w:r w:rsidRPr="00C70FDC">
        <w:rPr>
          <w:rStyle w:val="FootnoteReference"/>
          <w:rFonts w:ascii="Garamond" w:hAnsi="Garamond"/>
        </w:rPr>
        <w:footnoteRef/>
      </w:r>
      <w:r w:rsidRPr="00C70FDC">
        <w:rPr>
          <w:rFonts w:ascii="Garamond" w:hAnsi="Garamond"/>
        </w:rPr>
        <w:t xml:space="preserve"> Jamaludiin Muhammad Tahir bin Ali Al-Kajrati, </w:t>
      </w:r>
      <w:r w:rsidRPr="00C70FDC">
        <w:rPr>
          <w:rFonts w:ascii="Garamond" w:hAnsi="Garamond"/>
          <w:i/>
          <w:iCs/>
        </w:rPr>
        <w:t>Mujma Bihar Al-Anwar Fi Gharaib at-Tanzil wa Lataif Al-Akhbar</w:t>
      </w:r>
      <w:r w:rsidRPr="00C70FDC">
        <w:rPr>
          <w:rFonts w:ascii="Garamond" w:hAnsi="Garamond"/>
        </w:rPr>
        <w:t>, Damaskus: Majlis Dairah al-Ma’arif al-Usmaniyah, (1967)</w:t>
      </w:r>
      <w:r w:rsidR="00CA3E64" w:rsidRPr="00C70FDC">
        <w:rPr>
          <w:rFonts w:ascii="Garamond" w:hAnsi="Garamond"/>
        </w:rPr>
        <w:t>.</w:t>
      </w:r>
    </w:p>
  </w:footnote>
  <w:footnote w:id="12">
    <w:p w14:paraId="2F096FFD" w14:textId="64B60756" w:rsidR="00C64113" w:rsidRPr="00C70FDC" w:rsidRDefault="00C64113">
      <w:pPr>
        <w:pStyle w:val="FootnoteText"/>
        <w:rPr>
          <w:rFonts w:ascii="Garamond" w:hAnsi="Garamond"/>
        </w:rPr>
      </w:pPr>
      <w:r w:rsidRPr="00C70FDC">
        <w:rPr>
          <w:rStyle w:val="FootnoteReference"/>
          <w:rFonts w:ascii="Garamond" w:hAnsi="Garamond"/>
        </w:rPr>
        <w:footnoteRef/>
      </w:r>
      <w:r w:rsidRPr="00C70FDC">
        <w:rPr>
          <w:rFonts w:ascii="Garamond" w:hAnsi="Garamond"/>
        </w:rPr>
        <w:t xml:space="preserve"> Muhammad bin Ahmad bin Sahl al-Sarkhasi, Al-Mabsuth, Beirut: Dar al-Mar’rifah, (1993)</w:t>
      </w:r>
      <w:r w:rsidR="00C70FDC">
        <w:rPr>
          <w:rFonts w:ascii="Garamond" w:hAnsi="Garamond"/>
        </w:rPr>
        <w:t>.</w:t>
      </w:r>
    </w:p>
  </w:footnote>
  <w:footnote w:id="13">
    <w:p w14:paraId="14756073" w14:textId="25F41F42" w:rsidR="002D0917" w:rsidRDefault="002D0917">
      <w:pPr>
        <w:pStyle w:val="FootnoteText"/>
      </w:pPr>
      <w:r w:rsidRPr="00C70FDC">
        <w:rPr>
          <w:rStyle w:val="FootnoteReference"/>
          <w:rFonts w:ascii="Garamond" w:hAnsi="Garamond"/>
        </w:rPr>
        <w:footnoteRef/>
      </w:r>
      <w:r w:rsidRPr="00C70FDC">
        <w:rPr>
          <w:rFonts w:ascii="Garamond" w:hAnsi="Garamond"/>
        </w:rPr>
        <w:t xml:space="preserve"> Abu Zakaria Muhyidin Al-Nawawi, Raudah At-Thalibin Wa Umdah al-Muftin, Beirut: al-Maktabah al-Islami, (1991)</w:t>
      </w:r>
      <w:r w:rsidR="00C70FDC">
        <w:rPr>
          <w:rFonts w:ascii="Garamond" w:hAnsi="Garamond"/>
        </w:rPr>
        <w:t>.</w:t>
      </w:r>
    </w:p>
  </w:footnote>
  <w:footnote w:id="14">
    <w:p w14:paraId="295689A0" w14:textId="5ECB591D" w:rsidR="0039502A" w:rsidRPr="00C70FDC" w:rsidRDefault="0039502A">
      <w:pPr>
        <w:pStyle w:val="FootnoteText"/>
        <w:rPr>
          <w:rFonts w:ascii="Garamond" w:hAnsi="Garamond"/>
        </w:rPr>
      </w:pPr>
      <w:r w:rsidRPr="00C70FDC">
        <w:rPr>
          <w:rStyle w:val="FootnoteReference"/>
          <w:rFonts w:ascii="Garamond" w:hAnsi="Garamond"/>
        </w:rPr>
        <w:footnoteRef/>
      </w:r>
      <w:r w:rsidRPr="00C70FDC">
        <w:rPr>
          <w:rFonts w:ascii="Garamond" w:hAnsi="Garamond"/>
        </w:rPr>
        <w:t xml:space="preserve"> Alaudiin Abu Bakr bin Mas’ud bin Ahmad al-Kasani, Bada’</w:t>
      </w:r>
      <w:r w:rsidR="00FF01E6">
        <w:rPr>
          <w:rFonts w:ascii="Garamond" w:hAnsi="Garamond"/>
        </w:rPr>
        <w:t>i</w:t>
      </w:r>
      <w:r w:rsidRPr="00C70FDC">
        <w:rPr>
          <w:rFonts w:ascii="Garamond" w:hAnsi="Garamond"/>
        </w:rPr>
        <w:t xml:space="preserve"> </w:t>
      </w:r>
      <w:r w:rsidRPr="00FF01E6">
        <w:rPr>
          <w:rFonts w:ascii="Garamond" w:hAnsi="Garamond"/>
          <w:i/>
          <w:iCs/>
        </w:rPr>
        <w:t>Al-Sana’I Fi Tartib Al-Syara’</w:t>
      </w:r>
      <w:r w:rsidR="00FF01E6">
        <w:rPr>
          <w:rFonts w:ascii="Garamond" w:hAnsi="Garamond"/>
          <w:i/>
          <w:iCs/>
        </w:rPr>
        <w:t>i</w:t>
      </w:r>
      <w:r w:rsidRPr="00FF01E6">
        <w:rPr>
          <w:rFonts w:ascii="Garamond" w:hAnsi="Garamond"/>
          <w:i/>
          <w:iCs/>
        </w:rPr>
        <w:t>,</w:t>
      </w:r>
      <w:r w:rsidRPr="00C70FDC">
        <w:rPr>
          <w:rFonts w:ascii="Garamond" w:hAnsi="Garamond"/>
        </w:rPr>
        <w:t xml:space="preserve"> Cairo: Dar al-Kutub al-Alamiyah, (1986)</w:t>
      </w:r>
      <w:r w:rsidR="00C70FDC">
        <w:rPr>
          <w:rFonts w:ascii="Garamond" w:hAnsi="Garamond"/>
        </w:rPr>
        <w:t>.</w:t>
      </w:r>
    </w:p>
  </w:footnote>
  <w:footnote w:id="15">
    <w:p w14:paraId="0DEE01AA" w14:textId="2F9EDBF6" w:rsidR="007F78C2" w:rsidRPr="00C70FDC" w:rsidRDefault="007F78C2">
      <w:pPr>
        <w:pStyle w:val="FootnoteText"/>
        <w:rPr>
          <w:rFonts w:ascii="Garamond" w:hAnsi="Garamond"/>
        </w:rPr>
      </w:pPr>
      <w:r w:rsidRPr="00C70FDC">
        <w:rPr>
          <w:rStyle w:val="FootnoteReference"/>
          <w:rFonts w:ascii="Garamond" w:hAnsi="Garamond"/>
        </w:rPr>
        <w:footnoteRef/>
      </w:r>
      <w:r w:rsidRPr="00C70FDC">
        <w:rPr>
          <w:rFonts w:ascii="Garamond" w:hAnsi="Garamond"/>
        </w:rPr>
        <w:t xml:space="preserve"> Muhammad bin Abdullah al-Kharsi, S</w:t>
      </w:r>
      <w:r w:rsidRPr="00FF01E6">
        <w:rPr>
          <w:rFonts w:ascii="Garamond" w:hAnsi="Garamond"/>
          <w:i/>
          <w:iCs/>
        </w:rPr>
        <w:t>yarh Mukhtashar Khalil Li Al-Kharsi</w:t>
      </w:r>
      <w:r w:rsidRPr="00C70FDC">
        <w:rPr>
          <w:rFonts w:ascii="Garamond" w:hAnsi="Garamond"/>
        </w:rPr>
        <w:t>, Beirut: Dar al-Fikr al-Arabu, (1999)</w:t>
      </w:r>
      <w:r w:rsidR="00C70FDC">
        <w:rPr>
          <w:rFonts w:ascii="Garamond" w:hAnsi="Garamond"/>
        </w:rPr>
        <w:t>.</w:t>
      </w:r>
    </w:p>
  </w:footnote>
  <w:footnote w:id="16">
    <w:p w14:paraId="0A64FA87" w14:textId="3A268427" w:rsidR="00E80709" w:rsidRPr="00C70FDC" w:rsidRDefault="00E80709">
      <w:pPr>
        <w:pStyle w:val="FootnoteText"/>
        <w:rPr>
          <w:rFonts w:ascii="Garamond" w:hAnsi="Garamond"/>
        </w:rPr>
      </w:pPr>
      <w:r w:rsidRPr="00C70FDC">
        <w:rPr>
          <w:rStyle w:val="FootnoteReference"/>
          <w:rFonts w:ascii="Garamond" w:hAnsi="Garamond"/>
        </w:rPr>
        <w:footnoteRef/>
      </w:r>
      <w:r w:rsidRPr="00C70FDC">
        <w:rPr>
          <w:rFonts w:ascii="Garamond" w:hAnsi="Garamond"/>
        </w:rPr>
        <w:t xml:space="preserve"> Abu Bakr Muhammad bin Abdil Mu’min bin Hariz bin Ma’la al-Hasini al-Hisni</w:t>
      </w:r>
      <w:r w:rsidR="00FF01E6">
        <w:rPr>
          <w:rFonts w:ascii="Garamond" w:hAnsi="Garamond"/>
        </w:rPr>
        <w:t>,</w:t>
      </w:r>
      <w:r w:rsidRPr="00C70FDC">
        <w:rPr>
          <w:rFonts w:ascii="Garamond" w:hAnsi="Garamond"/>
        </w:rPr>
        <w:t xml:space="preserve"> K</w:t>
      </w:r>
      <w:r w:rsidRPr="00FF01E6">
        <w:rPr>
          <w:rFonts w:ascii="Garamond" w:hAnsi="Garamond"/>
          <w:i/>
          <w:iCs/>
        </w:rPr>
        <w:t xml:space="preserve">ifayat Al-Akhyar Fi Halli Ghayat Al-Ikhtisar, </w:t>
      </w:r>
      <w:r w:rsidRPr="00C70FDC">
        <w:rPr>
          <w:rFonts w:ascii="Garamond" w:hAnsi="Garamond"/>
        </w:rPr>
        <w:t>Damaskus: Dar al-Khair, (1994)</w:t>
      </w:r>
      <w:r w:rsidR="00C70FDC">
        <w:rPr>
          <w:rFonts w:ascii="Garamond" w:hAnsi="Garamond"/>
        </w:rPr>
        <w:t>.</w:t>
      </w:r>
    </w:p>
  </w:footnote>
  <w:footnote w:id="17">
    <w:p w14:paraId="4B4D5539" w14:textId="4AD2EDF3" w:rsidR="008424E0" w:rsidRDefault="008424E0">
      <w:pPr>
        <w:pStyle w:val="FootnoteText"/>
      </w:pPr>
      <w:r w:rsidRPr="00C70FDC">
        <w:rPr>
          <w:rStyle w:val="FootnoteReference"/>
          <w:rFonts w:ascii="Garamond" w:hAnsi="Garamond"/>
        </w:rPr>
        <w:footnoteRef/>
      </w:r>
      <w:r w:rsidRPr="00C70FDC">
        <w:rPr>
          <w:rFonts w:ascii="Garamond" w:hAnsi="Garamond"/>
        </w:rPr>
        <w:t xml:space="preserve"> Muhammad bin Ahmad Zainuddin Abu Yahya al Sinaiki, </w:t>
      </w:r>
      <w:r w:rsidRPr="00FF01E6">
        <w:rPr>
          <w:rFonts w:ascii="Garamond" w:hAnsi="Garamond"/>
          <w:i/>
          <w:iCs/>
        </w:rPr>
        <w:t>Fath Al-Wahab Bi Syarh Minhaj At-Tullab</w:t>
      </w:r>
      <w:r w:rsidRPr="00C70FDC">
        <w:rPr>
          <w:rFonts w:ascii="Garamond" w:hAnsi="Garamond"/>
        </w:rPr>
        <w:t>, Beirut: Dar al-Fikr, (1994)</w:t>
      </w:r>
      <w:r w:rsidR="00FF01E6">
        <w:rPr>
          <w:rFonts w:ascii="Garamond" w:hAnsi="Garamond"/>
        </w:rPr>
        <w:t>.</w:t>
      </w:r>
    </w:p>
  </w:footnote>
  <w:footnote w:id="18">
    <w:p w14:paraId="1BFD92AA" w14:textId="00D1C4E8" w:rsidR="002B231A" w:rsidRDefault="002B231A">
      <w:pPr>
        <w:pStyle w:val="FootnoteText"/>
      </w:pPr>
      <w:r>
        <w:rPr>
          <w:rStyle w:val="FootnoteReference"/>
        </w:rPr>
        <w:footnoteRef/>
      </w:r>
      <w:r>
        <w:t xml:space="preserve"> </w:t>
      </w:r>
      <w:r w:rsidRPr="00DF30FA">
        <w:rPr>
          <w:rFonts w:ascii="Garamond" w:hAnsi="Garamond"/>
        </w:rPr>
        <w:t xml:space="preserve">Mustofa Hasan, </w:t>
      </w:r>
      <w:r w:rsidRPr="00DF30FA">
        <w:rPr>
          <w:rFonts w:ascii="Garamond" w:hAnsi="Garamond"/>
          <w:i/>
          <w:iCs/>
        </w:rPr>
        <w:t>Pengantar Hukum Keluarga,</w:t>
      </w:r>
      <w:r w:rsidRPr="00DF30FA">
        <w:rPr>
          <w:rFonts w:ascii="Garamond" w:hAnsi="Garamond"/>
        </w:rPr>
        <w:t xml:space="preserve"> Bandung: CV Pustaka Setia, (2011), 148.</w:t>
      </w:r>
    </w:p>
  </w:footnote>
  <w:footnote w:id="19">
    <w:p w14:paraId="1B67C92D" w14:textId="5853E964" w:rsidR="00E935BD" w:rsidRDefault="00E935BD">
      <w:pPr>
        <w:pStyle w:val="FootnoteText"/>
      </w:pPr>
      <w:r>
        <w:rPr>
          <w:rStyle w:val="FootnoteReference"/>
        </w:rPr>
        <w:footnoteRef/>
      </w:r>
      <w:r>
        <w:t xml:space="preserve"> </w:t>
      </w:r>
      <w:r w:rsidRPr="00E935BD">
        <w:rPr>
          <w:rFonts w:ascii="Garamond" w:hAnsi="Garamond"/>
        </w:rPr>
        <w:t>Muhammad al-Thahur bin Asyur, Maqasid al-Syariah al-Islamiyyah, (Tunisia: al-Syirkah al-Tunisiyah, 1988), hlm. 51.</w:t>
      </w:r>
    </w:p>
  </w:footnote>
  <w:footnote w:id="20">
    <w:p w14:paraId="7D1B9AB6" w14:textId="6AE17233" w:rsidR="002433AF" w:rsidRDefault="002433AF">
      <w:pPr>
        <w:pStyle w:val="FootnoteText"/>
      </w:pPr>
      <w:r>
        <w:rPr>
          <w:rStyle w:val="FootnoteReference"/>
        </w:rPr>
        <w:footnoteRef/>
      </w:r>
      <w:r>
        <w:t xml:space="preserve"> </w:t>
      </w:r>
      <w:r w:rsidRPr="002433AF">
        <w:rPr>
          <w:rFonts w:ascii="Garamond" w:hAnsi="Garamond"/>
        </w:rPr>
        <w:t>Wahbah Az-Zuhaili</w:t>
      </w:r>
      <w:r w:rsidRPr="002433AF">
        <w:rPr>
          <w:rFonts w:ascii="Garamond" w:hAnsi="Garamond"/>
          <w:i/>
          <w:iCs/>
        </w:rPr>
        <w:t>, Fiqih Islam Wa Adillatuhu</w:t>
      </w:r>
      <w:r w:rsidRPr="002433AF">
        <w:rPr>
          <w:rFonts w:ascii="Garamond" w:hAnsi="Garamond"/>
        </w:rPr>
        <w:t>, Terjemahan Abdul Hayyie al-Kattani, (Jakarta: Gema Insani, 2010), hlm. 38.</w:t>
      </w:r>
    </w:p>
  </w:footnote>
  <w:footnote w:id="21">
    <w:p w14:paraId="6BCCB6CE" w14:textId="513A8F6D" w:rsidR="009E3C2D" w:rsidRDefault="009E3C2D">
      <w:pPr>
        <w:pStyle w:val="FootnoteText"/>
      </w:pPr>
      <w:r>
        <w:rPr>
          <w:rStyle w:val="FootnoteReference"/>
        </w:rPr>
        <w:footnoteRef/>
      </w:r>
      <w:r>
        <w:t xml:space="preserve"> </w:t>
      </w:r>
      <w:r w:rsidRPr="005076B6">
        <w:rPr>
          <w:rFonts w:ascii="Garamond" w:hAnsi="Garamond"/>
        </w:rPr>
        <w:t xml:space="preserve">Abdul Basit Misbachul Fitri, </w:t>
      </w:r>
      <w:r w:rsidRPr="005076B6">
        <w:rPr>
          <w:rFonts w:ascii="Garamond" w:hAnsi="Garamond"/>
          <w:i/>
          <w:iCs/>
        </w:rPr>
        <w:t>“Eksistensi Mahar Pernikahan dalam Islam”,</w:t>
      </w:r>
      <w:r w:rsidRPr="005076B6">
        <w:rPr>
          <w:rFonts w:ascii="Garamond" w:hAnsi="Garamond"/>
        </w:rPr>
        <w:t xml:space="preserve"> Jurnal Usratuna Volume 2, no.1 (Desember 2018), hlm. </w:t>
      </w:r>
      <w:r w:rsidR="005076B6" w:rsidRPr="005076B6">
        <w:rPr>
          <w:rFonts w:ascii="Garamond" w:hAnsi="Garamond"/>
        </w:rPr>
        <w:t>2.</w:t>
      </w:r>
    </w:p>
  </w:footnote>
  <w:footnote w:id="22">
    <w:p w14:paraId="7ECD1948" w14:textId="5416B191" w:rsidR="00E43AB3" w:rsidRDefault="00E43AB3">
      <w:pPr>
        <w:pStyle w:val="FootnoteText"/>
      </w:pPr>
      <w:r>
        <w:rPr>
          <w:rStyle w:val="FootnoteReference"/>
        </w:rPr>
        <w:footnoteRef/>
      </w:r>
      <w:r>
        <w:t xml:space="preserve"> </w:t>
      </w:r>
      <w:r w:rsidRPr="00E43AB3">
        <w:rPr>
          <w:rFonts w:ascii="Garamond" w:hAnsi="Garamond"/>
        </w:rPr>
        <w:t>Ibnu Irawan da Jayusman,</w:t>
      </w:r>
      <w:r>
        <w:rPr>
          <w:rFonts w:ascii="Garamond" w:hAnsi="Garamond"/>
        </w:rPr>
        <w:t xml:space="preserve"> </w:t>
      </w:r>
      <w:r w:rsidRPr="00E43AB3">
        <w:rPr>
          <w:rFonts w:ascii="Garamond" w:hAnsi="Garamond"/>
        </w:rPr>
        <w:t>“</w:t>
      </w:r>
      <w:r w:rsidRPr="00E43AB3">
        <w:rPr>
          <w:rFonts w:ascii="Garamond" w:hAnsi="Garamond"/>
          <w:i/>
          <w:iCs/>
        </w:rPr>
        <w:t>Mahar Hafalan al-Qur’an Perspektif Hukum Islam</w:t>
      </w:r>
      <w:r w:rsidRPr="00E43AB3">
        <w:rPr>
          <w:rFonts w:ascii="Garamond" w:hAnsi="Garamond"/>
        </w:rPr>
        <w:t>”, PALITA: Journal of Social-Religion Research, Volume 4 no.2 (Oktober 2019), hlm.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8229" w14:textId="65408EB2" w:rsidR="00491400" w:rsidRDefault="00914C58" w:rsidP="00914C58">
    <w:pPr>
      <w:pStyle w:val="Header"/>
      <w:pBdr>
        <w:bottom w:val="single" w:sz="6" w:space="0" w:color="auto"/>
      </w:pBdr>
      <w:ind w:firstLine="0"/>
      <w:rPr>
        <w:rFonts w:ascii="Goudy Old Style" w:hAnsi="Goudy Old Style"/>
        <w:sz w:val="20"/>
        <w:szCs w:val="20"/>
      </w:rPr>
    </w:pPr>
    <w:r w:rsidRPr="00914C58">
      <w:rPr>
        <w:rFonts w:ascii="Goudy Old Style" w:hAnsi="Goudy Old Style"/>
        <w:sz w:val="20"/>
        <w:szCs w:val="20"/>
      </w:rPr>
      <w:t>Aziz Shole</w:t>
    </w:r>
    <w:r>
      <w:rPr>
        <w:rFonts w:ascii="Goudy Old Style" w:hAnsi="Goudy Old Style"/>
        <w:sz w:val="20"/>
        <w:szCs w:val="20"/>
      </w:rPr>
      <w:t>h</w:t>
    </w:r>
    <w:r w:rsidRPr="00914C58">
      <w:rPr>
        <w:rFonts w:ascii="Goudy Old Style" w:hAnsi="Goudy Old Style"/>
        <w:sz w:val="20"/>
        <w:szCs w:val="20"/>
      </w:rPr>
      <w:t>, Zulbaidah, Enceng Arif Faisal</w:t>
    </w:r>
  </w:p>
  <w:p w14:paraId="78AF3381" w14:textId="30D4C72A" w:rsidR="00914C58" w:rsidRPr="00914C58" w:rsidRDefault="00914C58" w:rsidP="00914C58">
    <w:pPr>
      <w:pStyle w:val="Header"/>
      <w:pBdr>
        <w:bottom w:val="single" w:sz="6" w:space="0" w:color="auto"/>
      </w:pBdr>
      <w:ind w:firstLine="0"/>
      <w:rPr>
        <w:rFonts w:ascii="Goudy Old Style" w:hAnsi="Goudy Old Style"/>
        <w:i/>
        <w:iCs/>
        <w:sz w:val="20"/>
        <w:szCs w:val="20"/>
      </w:rPr>
    </w:pPr>
    <w:r>
      <w:rPr>
        <w:rFonts w:ascii="Goudy Old Style" w:hAnsi="Goudy Old Style"/>
        <w:i/>
        <w:iCs/>
        <w:sz w:val="20"/>
        <w:szCs w:val="20"/>
      </w:rPr>
      <w:t>Implementasi Mahar Menggunakan Hafalan Al-Qur’an…..</w:t>
    </w:r>
  </w:p>
  <w:p w14:paraId="79BB4DC9" w14:textId="77777777" w:rsidR="007526F6" w:rsidRPr="003D31BC" w:rsidRDefault="007526F6" w:rsidP="00856F69">
    <w:pPr>
      <w:pStyle w:val="Header"/>
      <w:ind w:firstLine="0"/>
      <w:rPr>
        <w:rFonts w:ascii="Book Antiqua" w:hAnsi="Book Antiqua"/>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1FD6" w14:textId="77777777" w:rsidR="007526F6" w:rsidRDefault="007526F6" w:rsidP="00491400">
    <w:pPr>
      <w:pStyle w:val="Header"/>
      <w:jc w:val="right"/>
      <w:rPr>
        <w:rFonts w:ascii="Goudy Old Style" w:hAnsi="Goudy Old Style"/>
        <w:i/>
        <w:iCs/>
        <w:sz w:val="20"/>
        <w:szCs w:val="20"/>
      </w:rPr>
    </w:pPr>
    <w:r w:rsidRPr="007526F6">
      <w:rPr>
        <w:rFonts w:ascii="Goudy Old Style" w:hAnsi="Goudy Old Style"/>
        <w:i/>
        <w:iCs/>
        <w:sz w:val="20"/>
        <w:szCs w:val="20"/>
      </w:rPr>
      <w:t>Al-Ahwal Al-Syakhsiyyah: Jurnal Hukum Keluarga dan Peradilan Islam</w:t>
    </w:r>
  </w:p>
  <w:p w14:paraId="2CE3201F" w14:textId="7B005655" w:rsidR="00491400" w:rsidRPr="001052F0" w:rsidRDefault="00491400" w:rsidP="00491400">
    <w:pPr>
      <w:pStyle w:val="Header"/>
      <w:pBdr>
        <w:bottom w:val="single" w:sz="6" w:space="1" w:color="auto"/>
      </w:pBdr>
      <w:jc w:val="right"/>
      <w:rPr>
        <w:rFonts w:ascii="Goudy Old Style" w:hAnsi="Goudy Old Style"/>
        <w:sz w:val="20"/>
        <w:szCs w:val="20"/>
      </w:rPr>
    </w:pPr>
    <w:r w:rsidRPr="001052F0">
      <w:rPr>
        <w:rFonts w:ascii="Goudy Old Style" w:hAnsi="Goudy Old Style"/>
        <w:sz w:val="20"/>
        <w:szCs w:val="20"/>
      </w:rPr>
      <w:t xml:space="preserve">Vol. </w:t>
    </w:r>
    <w:r w:rsidR="00914C58">
      <w:rPr>
        <w:rFonts w:ascii="Goudy Old Style" w:hAnsi="Goudy Old Style"/>
        <w:sz w:val="20"/>
        <w:szCs w:val="20"/>
      </w:rPr>
      <w:t>4</w:t>
    </w:r>
    <w:r w:rsidRPr="001052F0">
      <w:rPr>
        <w:rFonts w:ascii="Goudy Old Style" w:hAnsi="Goudy Old Style"/>
        <w:sz w:val="20"/>
        <w:szCs w:val="20"/>
      </w:rPr>
      <w:t xml:space="preserve">, no. </w:t>
    </w:r>
    <w:r w:rsidR="00914C58">
      <w:rPr>
        <w:rFonts w:ascii="Goudy Old Style" w:hAnsi="Goudy Old Style"/>
        <w:sz w:val="20"/>
        <w:szCs w:val="20"/>
      </w:rPr>
      <w:t>2</w:t>
    </w:r>
    <w:r w:rsidRPr="001052F0">
      <w:rPr>
        <w:rFonts w:ascii="Goudy Old Style" w:hAnsi="Goudy Old Style"/>
        <w:sz w:val="20"/>
        <w:szCs w:val="20"/>
      </w:rPr>
      <w:t xml:space="preserve"> (</w:t>
    </w:r>
    <w:r w:rsidR="00914C58">
      <w:rPr>
        <w:rFonts w:ascii="Goudy Old Style" w:hAnsi="Goudy Old Style"/>
        <w:sz w:val="20"/>
        <w:szCs w:val="20"/>
      </w:rPr>
      <w:t>2023</w:t>
    </w:r>
    <w:r w:rsidRPr="001052F0">
      <w:rPr>
        <w:rFonts w:ascii="Goudy Old Style" w:hAnsi="Goudy Old Style"/>
        <w:sz w:val="20"/>
        <w:szCs w:val="20"/>
      </w:rPr>
      <w:t xml:space="preserve">), pp. </w:t>
    </w:r>
    <w:r w:rsidR="00A01B3E">
      <w:rPr>
        <w:rFonts w:ascii="Goudy Old Style" w:hAnsi="Goudy Old Style"/>
        <w:sz w:val="20"/>
        <w:szCs w:val="20"/>
      </w:rPr>
      <w:t>155</w:t>
    </w:r>
    <w:r w:rsidRPr="001052F0">
      <w:rPr>
        <w:rFonts w:ascii="Goudy Old Style" w:hAnsi="Goudy Old Style"/>
        <w:sz w:val="20"/>
        <w:szCs w:val="20"/>
      </w:rPr>
      <w:t>-</w:t>
    </w:r>
    <w:r w:rsidR="00A01B3E">
      <w:rPr>
        <w:rFonts w:ascii="Goudy Old Style" w:hAnsi="Goudy Old Style"/>
        <w:sz w:val="20"/>
        <w:szCs w:val="20"/>
      </w:rPr>
      <w:t>168</w:t>
    </w:r>
    <w:r w:rsidRPr="001052F0">
      <w:rPr>
        <w:rFonts w:ascii="Goudy Old Style" w:hAnsi="Goudy Old Style"/>
        <w:sz w:val="20"/>
        <w:szCs w:val="20"/>
      </w:rPr>
      <w:t xml:space="preserve">, doi: </w:t>
    </w:r>
    <w:r w:rsidR="00EF07B0" w:rsidRPr="00EF07B0">
      <w:rPr>
        <w:rFonts w:ascii="Goudy Old Style" w:hAnsi="Goudy Old Style"/>
        <w:sz w:val="20"/>
        <w:szCs w:val="20"/>
      </w:rPr>
      <w:t>10.15575/as.v4i2.29513</w:t>
    </w:r>
  </w:p>
  <w:p w14:paraId="205414C3" w14:textId="77777777" w:rsidR="007526F6" w:rsidRDefault="00752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9C78" w14:textId="77777777" w:rsidR="007526F6" w:rsidRDefault="007526F6" w:rsidP="007942DA">
    <w:pPr>
      <w:pStyle w:val="Header"/>
      <w:jc w:val="right"/>
      <w:rPr>
        <w:rFonts w:ascii="Goudy Old Style" w:hAnsi="Goudy Old Style"/>
        <w:b/>
        <w:bCs/>
        <w:sz w:val="20"/>
        <w:szCs w:val="20"/>
      </w:rPr>
    </w:pPr>
    <w:r w:rsidRPr="007526F6">
      <w:rPr>
        <w:rFonts w:ascii="Goudy Old Style" w:hAnsi="Goudy Old Style"/>
        <w:b/>
        <w:bCs/>
        <w:sz w:val="20"/>
        <w:szCs w:val="20"/>
      </w:rPr>
      <w:t>Al-Ahwal Al-Syakhsiyyah: Jurnal Hukum Keluarga dan Peradilan Islam</w:t>
    </w:r>
  </w:p>
  <w:p w14:paraId="36FC8927" w14:textId="77777777" w:rsidR="007942DA" w:rsidRPr="001953A4" w:rsidRDefault="007942DA" w:rsidP="007526F6">
    <w:pPr>
      <w:pStyle w:val="Header"/>
      <w:jc w:val="right"/>
      <w:rPr>
        <w:rFonts w:ascii="Goudy Old Style" w:hAnsi="Goudy Old Style"/>
        <w:b/>
        <w:bCs/>
        <w:sz w:val="20"/>
        <w:szCs w:val="20"/>
      </w:rPr>
    </w:pPr>
    <w:r w:rsidRPr="001953A4">
      <w:rPr>
        <w:rFonts w:ascii="Goudy Old Style" w:hAnsi="Goudy Old Style"/>
        <w:b/>
        <w:bCs/>
        <w:sz w:val="20"/>
        <w:szCs w:val="20"/>
      </w:rPr>
      <w:t xml:space="preserve">ISSN: </w:t>
    </w:r>
    <w:r w:rsidR="007526F6">
      <w:rPr>
        <w:rFonts w:ascii="Goudy Old Style" w:hAnsi="Goudy Old Style"/>
        <w:b/>
        <w:bCs/>
        <w:sz w:val="20"/>
        <w:szCs w:val="20"/>
      </w:rPr>
      <w:t>2745</w:t>
    </w:r>
    <w:r w:rsidRPr="001953A4">
      <w:rPr>
        <w:rFonts w:ascii="Goudy Old Style" w:hAnsi="Goudy Old Style"/>
        <w:b/>
        <w:bCs/>
        <w:sz w:val="20"/>
        <w:szCs w:val="20"/>
      </w:rPr>
      <w:t>-</w:t>
    </w:r>
    <w:r w:rsidR="007526F6">
      <w:rPr>
        <w:rFonts w:ascii="Goudy Old Style" w:hAnsi="Goudy Old Style"/>
        <w:b/>
        <w:bCs/>
        <w:sz w:val="20"/>
        <w:szCs w:val="20"/>
      </w:rPr>
      <w:t>8741</w:t>
    </w:r>
    <w:r w:rsidRPr="001953A4">
      <w:rPr>
        <w:rFonts w:ascii="Goudy Old Style" w:hAnsi="Goudy Old Style"/>
        <w:b/>
        <w:bCs/>
        <w:sz w:val="20"/>
        <w:szCs w:val="20"/>
      </w:rPr>
      <w:t xml:space="preserve">(p), </w:t>
    </w:r>
    <w:r w:rsidR="007526F6">
      <w:rPr>
        <w:rFonts w:ascii="Goudy Old Style" w:hAnsi="Goudy Old Style"/>
        <w:b/>
        <w:bCs/>
        <w:sz w:val="20"/>
        <w:szCs w:val="20"/>
      </w:rPr>
      <w:t>2746</w:t>
    </w:r>
    <w:r w:rsidRPr="001953A4">
      <w:rPr>
        <w:rFonts w:ascii="Goudy Old Style" w:hAnsi="Goudy Old Style"/>
        <w:b/>
        <w:bCs/>
        <w:sz w:val="20"/>
        <w:szCs w:val="20"/>
      </w:rPr>
      <w:t>-</w:t>
    </w:r>
    <w:r w:rsidR="007526F6">
      <w:rPr>
        <w:rFonts w:ascii="Goudy Old Style" w:hAnsi="Goudy Old Style"/>
        <w:b/>
        <w:bCs/>
        <w:sz w:val="20"/>
        <w:szCs w:val="20"/>
      </w:rPr>
      <w:t>3990</w:t>
    </w:r>
    <w:r w:rsidRPr="001953A4">
      <w:rPr>
        <w:rFonts w:ascii="Goudy Old Style" w:hAnsi="Goudy Old Style"/>
        <w:b/>
        <w:bCs/>
        <w:sz w:val="20"/>
        <w:szCs w:val="20"/>
      </w:rPr>
      <w:t xml:space="preserve"> (e)</w:t>
    </w:r>
  </w:p>
  <w:p w14:paraId="112663AE" w14:textId="1BFD1CDC" w:rsidR="007942DA" w:rsidRPr="001953A4" w:rsidRDefault="007942DA" w:rsidP="007526F6">
    <w:pPr>
      <w:pStyle w:val="Header"/>
      <w:pBdr>
        <w:bottom w:val="single" w:sz="4" w:space="1" w:color="auto"/>
      </w:pBdr>
      <w:jc w:val="right"/>
      <w:rPr>
        <w:rFonts w:ascii="Goudy Old Style" w:hAnsi="Goudy Old Style"/>
        <w:b/>
        <w:bCs/>
        <w:sz w:val="20"/>
        <w:szCs w:val="20"/>
      </w:rPr>
    </w:pPr>
    <w:r w:rsidRPr="001953A4">
      <w:rPr>
        <w:rFonts w:ascii="Goudy Old Style" w:hAnsi="Goudy Old Style"/>
        <w:b/>
        <w:bCs/>
        <w:sz w:val="20"/>
        <w:szCs w:val="20"/>
      </w:rPr>
      <w:t xml:space="preserve">Vol. </w:t>
    </w:r>
    <w:r w:rsidR="00914C58">
      <w:rPr>
        <w:rFonts w:ascii="Goudy Old Style" w:hAnsi="Goudy Old Style"/>
        <w:b/>
        <w:bCs/>
        <w:sz w:val="20"/>
        <w:szCs w:val="20"/>
      </w:rPr>
      <w:t>4</w:t>
    </w:r>
    <w:r w:rsidRPr="001953A4">
      <w:rPr>
        <w:rFonts w:ascii="Goudy Old Style" w:hAnsi="Goudy Old Style"/>
        <w:b/>
        <w:bCs/>
        <w:sz w:val="20"/>
        <w:szCs w:val="20"/>
      </w:rPr>
      <w:t xml:space="preserve">, no. </w:t>
    </w:r>
    <w:r w:rsidR="00914C58">
      <w:rPr>
        <w:rFonts w:ascii="Goudy Old Style" w:hAnsi="Goudy Old Style"/>
        <w:b/>
        <w:bCs/>
        <w:sz w:val="20"/>
        <w:szCs w:val="20"/>
      </w:rPr>
      <w:t>2</w:t>
    </w:r>
    <w:r w:rsidRPr="001953A4">
      <w:rPr>
        <w:rFonts w:ascii="Goudy Old Style" w:hAnsi="Goudy Old Style"/>
        <w:b/>
        <w:bCs/>
        <w:sz w:val="20"/>
        <w:szCs w:val="20"/>
      </w:rPr>
      <w:t xml:space="preserve"> (</w:t>
    </w:r>
    <w:r w:rsidR="00914C58">
      <w:rPr>
        <w:rFonts w:ascii="Goudy Old Style" w:hAnsi="Goudy Old Style"/>
        <w:b/>
        <w:bCs/>
        <w:sz w:val="20"/>
        <w:szCs w:val="20"/>
      </w:rPr>
      <w:t>2023</w:t>
    </w:r>
    <w:r w:rsidRPr="001953A4">
      <w:rPr>
        <w:rFonts w:ascii="Goudy Old Style" w:hAnsi="Goudy Old Style"/>
        <w:b/>
        <w:bCs/>
        <w:sz w:val="20"/>
        <w:szCs w:val="20"/>
      </w:rPr>
      <w:t xml:space="preserve">), pp. </w:t>
    </w:r>
    <w:r w:rsidR="00A01B3E">
      <w:rPr>
        <w:rFonts w:ascii="Goudy Old Style" w:hAnsi="Goudy Old Style"/>
        <w:b/>
        <w:bCs/>
        <w:sz w:val="20"/>
        <w:szCs w:val="20"/>
      </w:rPr>
      <w:t>155</w:t>
    </w:r>
    <w:r w:rsidRPr="001953A4">
      <w:rPr>
        <w:rFonts w:ascii="Goudy Old Style" w:hAnsi="Goudy Old Style"/>
        <w:b/>
        <w:bCs/>
        <w:sz w:val="20"/>
        <w:szCs w:val="20"/>
      </w:rPr>
      <w:t>-</w:t>
    </w:r>
    <w:r w:rsidR="00A01B3E">
      <w:rPr>
        <w:rFonts w:ascii="Goudy Old Style" w:hAnsi="Goudy Old Style"/>
        <w:b/>
        <w:bCs/>
        <w:sz w:val="20"/>
        <w:szCs w:val="20"/>
      </w:rPr>
      <w:t>168</w:t>
    </w:r>
    <w:r w:rsidRPr="001953A4">
      <w:rPr>
        <w:rFonts w:ascii="Goudy Old Style" w:hAnsi="Goudy Old Style"/>
        <w:b/>
        <w:bCs/>
        <w:sz w:val="20"/>
        <w:szCs w:val="20"/>
      </w:rPr>
      <w:t xml:space="preserve">, doi: </w:t>
    </w:r>
    <w:r w:rsidR="007526F6" w:rsidRPr="007526F6">
      <w:rPr>
        <w:rFonts w:ascii="Goudy Old Style" w:hAnsi="Goudy Old Style"/>
        <w:b/>
        <w:bCs/>
        <w:sz w:val="20"/>
        <w:szCs w:val="20"/>
      </w:rPr>
      <w:t>10.15575/as.v2i2.14327</w:t>
    </w:r>
  </w:p>
  <w:p w14:paraId="08CABAC5" w14:textId="77777777" w:rsidR="007942DA" w:rsidRPr="007942DA" w:rsidRDefault="007942DA" w:rsidP="007942DA">
    <w:pPr>
      <w:pStyle w:val="Header"/>
      <w:tabs>
        <w:tab w:val="clear" w:pos="4320"/>
        <w:tab w:val="clear" w:pos="8640"/>
        <w:tab w:val="left" w:pos="51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1ED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6F70"/>
    <w:multiLevelType w:val="hybridMultilevel"/>
    <w:tmpl w:val="8CDC60A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3060" w:hanging="360"/>
      </w:pPr>
      <w:rPr>
        <w:rFonts w:cs="Times New Roman" w:hint="default"/>
      </w:rPr>
    </w:lvl>
    <w:lvl w:ilvl="3" w:tplc="06FC5920">
      <w:start w:val="1"/>
      <w:numFmt w:val="decimal"/>
      <w:lvlText w:val="%4."/>
      <w:lvlJc w:val="left"/>
      <w:pPr>
        <w:ind w:left="3600" w:hanging="360"/>
      </w:pPr>
      <w:rPr>
        <w:rFonts w:cs="Times New Roman" w:hint="default"/>
        <w:b w:val="0"/>
        <w:bCs w:val="0"/>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C141017"/>
    <w:multiLevelType w:val="hybridMultilevel"/>
    <w:tmpl w:val="FA1459A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15:restartNumberingAfterBreak="0">
    <w:nsid w:val="0FC82D7F"/>
    <w:multiLevelType w:val="hybridMultilevel"/>
    <w:tmpl w:val="F04426DE"/>
    <w:lvl w:ilvl="0" w:tplc="FE04A3C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34738A4"/>
    <w:multiLevelType w:val="hybridMultilevel"/>
    <w:tmpl w:val="67D026B6"/>
    <w:lvl w:ilvl="0" w:tplc="6D1C5808">
      <w:start w:val="1"/>
      <w:numFmt w:val="upp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9C71125"/>
    <w:multiLevelType w:val="multilevel"/>
    <w:tmpl w:val="F42E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F7D6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654080"/>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38EE4687"/>
    <w:multiLevelType w:val="hybridMultilevel"/>
    <w:tmpl w:val="786C2948"/>
    <w:lvl w:ilvl="0" w:tplc="887ED6A4">
      <w:start w:val="1"/>
      <w:numFmt w:val="decimal"/>
      <w:lvlText w:val="%1."/>
      <w:lvlJc w:val="left"/>
      <w:pPr>
        <w:ind w:left="2019" w:hanging="885"/>
      </w:pPr>
      <w:rPr>
        <w:rFonts w:cs="Times New Roman" w:hint="default"/>
        <w:i w:val="0"/>
        <w:i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15:restartNumberingAfterBreak="0">
    <w:nsid w:val="3B4B73F0"/>
    <w:multiLevelType w:val="multilevel"/>
    <w:tmpl w:val="4184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23FCB"/>
    <w:multiLevelType w:val="hybridMultilevel"/>
    <w:tmpl w:val="07382F8A"/>
    <w:lvl w:ilvl="0" w:tplc="FDB00A0E">
      <w:start w:val="1"/>
      <w:numFmt w:val="decimal"/>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4D7E1B78"/>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F6A6E15"/>
    <w:multiLevelType w:val="multilevel"/>
    <w:tmpl w:val="EE36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B4E23"/>
    <w:multiLevelType w:val="hybridMultilevel"/>
    <w:tmpl w:val="AA3A14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5AD27C60"/>
    <w:multiLevelType w:val="hybridMultilevel"/>
    <w:tmpl w:val="87569534"/>
    <w:lvl w:ilvl="0" w:tplc="50AE83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E5B0166"/>
    <w:multiLevelType w:val="multilevel"/>
    <w:tmpl w:val="B26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E6CAE"/>
    <w:multiLevelType w:val="multilevel"/>
    <w:tmpl w:val="D26E4B18"/>
    <w:lvl w:ilvl="0">
      <w:start w:val="1"/>
      <w:numFmt w:val="decimal"/>
      <w:lvlText w:val="%1."/>
      <w:lvlJc w:val="left"/>
      <w:pPr>
        <w:tabs>
          <w:tab w:val="num" w:pos="720"/>
        </w:tabs>
        <w:ind w:left="720" w:hanging="360"/>
      </w:pPr>
      <w:rPr>
        <w:rFonts w:ascii="Garamond" w:eastAsiaTheme="minorEastAsia" w:hAnsi="Garamond" w:cs="Segoe UI"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BB5269"/>
    <w:multiLevelType w:val="multilevel"/>
    <w:tmpl w:val="3072F560"/>
    <w:lvl w:ilvl="0">
      <w:start w:val="1"/>
      <w:numFmt w:val="decimal"/>
      <w:lvlText w:val="%1."/>
      <w:lvlJc w:val="left"/>
      <w:pPr>
        <w:tabs>
          <w:tab w:val="num" w:pos="720"/>
        </w:tabs>
        <w:ind w:left="720" w:hanging="360"/>
      </w:pPr>
      <w:rPr>
        <w:rFonts w:ascii="Garamond" w:eastAsiaTheme="minorEastAsia" w:hAnsi="Garamond" w:cs="Segoe UI"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21E85"/>
    <w:multiLevelType w:val="hybridMultilevel"/>
    <w:tmpl w:val="0DD2B73A"/>
    <w:lvl w:ilvl="0" w:tplc="275C4D32">
      <w:start w:val="1"/>
      <w:numFmt w:val="upperLetter"/>
      <w:pStyle w:val="Heading3"/>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670921E2"/>
    <w:multiLevelType w:val="hybridMultilevel"/>
    <w:tmpl w:val="FB00E77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450" w:hanging="360"/>
      </w:pPr>
      <w:rPr>
        <w:rFonts w:cs="Times New Roman" w:hint="default"/>
      </w:rPr>
    </w:lvl>
    <w:lvl w:ilvl="3" w:tplc="04090019">
      <w:start w:val="1"/>
      <w:numFmt w:val="lowerLetter"/>
      <w:lvlText w:val="%4."/>
      <w:lvlJc w:val="left"/>
      <w:pPr>
        <w:ind w:left="3600" w:hanging="360"/>
      </w:pPr>
      <w:rPr>
        <w:rFonts w:cs="Times New Roman" w:hint="default"/>
      </w:rPr>
    </w:lvl>
    <w:lvl w:ilvl="4" w:tplc="4608362E">
      <w:start w:val="1"/>
      <w:numFmt w:val="decimal"/>
      <w:lvlText w:val="%5."/>
      <w:lvlJc w:val="left"/>
      <w:pPr>
        <w:ind w:left="4320" w:hanging="360"/>
      </w:pPr>
      <w:rPr>
        <w:rFonts w:cs="Times New Roman"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6BE9074F"/>
    <w:multiLevelType w:val="multilevel"/>
    <w:tmpl w:val="C0DC4E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A11936"/>
    <w:multiLevelType w:val="hybridMultilevel"/>
    <w:tmpl w:val="E7C070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BE55CD7"/>
    <w:multiLevelType w:val="hybridMultilevel"/>
    <w:tmpl w:val="9AE839D6"/>
    <w:lvl w:ilvl="0" w:tplc="6816B16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10"/>
  </w:num>
  <w:num w:numId="4">
    <w:abstractNumId w:val="8"/>
  </w:num>
  <w:num w:numId="5">
    <w:abstractNumId w:val="14"/>
  </w:num>
  <w:num w:numId="6">
    <w:abstractNumId w:val="6"/>
  </w:num>
  <w:num w:numId="7">
    <w:abstractNumId w:val="20"/>
  </w:num>
  <w:num w:numId="8">
    <w:abstractNumId w:val="22"/>
  </w:num>
  <w:num w:numId="9">
    <w:abstractNumId w:val="1"/>
  </w:num>
  <w:num w:numId="10">
    <w:abstractNumId w:val="19"/>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1"/>
  </w:num>
  <w:num w:numId="16">
    <w:abstractNumId w:val="18"/>
  </w:num>
  <w:num w:numId="17">
    <w:abstractNumId w:val="0"/>
  </w:num>
  <w:num w:numId="18">
    <w:abstractNumId w:val="5"/>
  </w:num>
  <w:num w:numId="19">
    <w:abstractNumId w:val="17"/>
  </w:num>
  <w:num w:numId="20">
    <w:abstractNumId w:val="16"/>
  </w:num>
  <w:num w:numId="21">
    <w:abstractNumId w:val="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ocumentProtection w:edit="readOnly" w:formatting="1" w:enforcement="0"/>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03"/>
    <w:rsid w:val="000100A6"/>
    <w:rsid w:val="0002177D"/>
    <w:rsid w:val="000261B1"/>
    <w:rsid w:val="00026D90"/>
    <w:rsid w:val="000272DA"/>
    <w:rsid w:val="000309DC"/>
    <w:rsid w:val="000335B7"/>
    <w:rsid w:val="0004372A"/>
    <w:rsid w:val="00052F5B"/>
    <w:rsid w:val="00057214"/>
    <w:rsid w:val="0006191A"/>
    <w:rsid w:val="00072A14"/>
    <w:rsid w:val="00086FC1"/>
    <w:rsid w:val="000926A3"/>
    <w:rsid w:val="00093040"/>
    <w:rsid w:val="00094AB4"/>
    <w:rsid w:val="00095688"/>
    <w:rsid w:val="00096D67"/>
    <w:rsid w:val="000A60A3"/>
    <w:rsid w:val="000A60AF"/>
    <w:rsid w:val="000A6F71"/>
    <w:rsid w:val="000B2333"/>
    <w:rsid w:val="000C64B4"/>
    <w:rsid w:val="000D2FFC"/>
    <w:rsid w:val="000D387B"/>
    <w:rsid w:val="000D7217"/>
    <w:rsid w:val="000D7BF6"/>
    <w:rsid w:val="000E40EB"/>
    <w:rsid w:val="000F34C2"/>
    <w:rsid w:val="0010104C"/>
    <w:rsid w:val="001143F0"/>
    <w:rsid w:val="00116949"/>
    <w:rsid w:val="0013403E"/>
    <w:rsid w:val="0013415B"/>
    <w:rsid w:val="00140251"/>
    <w:rsid w:val="001404E0"/>
    <w:rsid w:val="0014690C"/>
    <w:rsid w:val="00146EF2"/>
    <w:rsid w:val="00161A20"/>
    <w:rsid w:val="00163956"/>
    <w:rsid w:val="0016671D"/>
    <w:rsid w:val="001724BC"/>
    <w:rsid w:val="0017311A"/>
    <w:rsid w:val="001734BA"/>
    <w:rsid w:val="0017484B"/>
    <w:rsid w:val="00181047"/>
    <w:rsid w:val="00181473"/>
    <w:rsid w:val="001843A8"/>
    <w:rsid w:val="00184830"/>
    <w:rsid w:val="001900D5"/>
    <w:rsid w:val="001A2ACF"/>
    <w:rsid w:val="001A52C1"/>
    <w:rsid w:val="001B1275"/>
    <w:rsid w:val="001B731F"/>
    <w:rsid w:val="001D06F7"/>
    <w:rsid w:val="001D184F"/>
    <w:rsid w:val="001D5C5F"/>
    <w:rsid w:val="001E1D2E"/>
    <w:rsid w:val="001E385E"/>
    <w:rsid w:val="001E5636"/>
    <w:rsid w:val="001F6792"/>
    <w:rsid w:val="00201864"/>
    <w:rsid w:val="002044DC"/>
    <w:rsid w:val="00231206"/>
    <w:rsid w:val="00232226"/>
    <w:rsid w:val="002359D3"/>
    <w:rsid w:val="002375C9"/>
    <w:rsid w:val="0024133B"/>
    <w:rsid w:val="002433AF"/>
    <w:rsid w:val="00244850"/>
    <w:rsid w:val="0025082F"/>
    <w:rsid w:val="00251E34"/>
    <w:rsid w:val="00257680"/>
    <w:rsid w:val="00263E68"/>
    <w:rsid w:val="00272BA4"/>
    <w:rsid w:val="00290526"/>
    <w:rsid w:val="002A3C7C"/>
    <w:rsid w:val="002B231A"/>
    <w:rsid w:val="002B5D5E"/>
    <w:rsid w:val="002D0917"/>
    <w:rsid w:val="002D2906"/>
    <w:rsid w:val="002D6F05"/>
    <w:rsid w:val="002E4580"/>
    <w:rsid w:val="002E74F6"/>
    <w:rsid w:val="002F1420"/>
    <w:rsid w:val="002F2897"/>
    <w:rsid w:val="003004B4"/>
    <w:rsid w:val="003048B5"/>
    <w:rsid w:val="00305ADC"/>
    <w:rsid w:val="003226C0"/>
    <w:rsid w:val="00333882"/>
    <w:rsid w:val="00333F54"/>
    <w:rsid w:val="00340A89"/>
    <w:rsid w:val="00341E90"/>
    <w:rsid w:val="0035391E"/>
    <w:rsid w:val="003603B0"/>
    <w:rsid w:val="003632D3"/>
    <w:rsid w:val="0036776E"/>
    <w:rsid w:val="003760A4"/>
    <w:rsid w:val="00376714"/>
    <w:rsid w:val="0037743A"/>
    <w:rsid w:val="00383F22"/>
    <w:rsid w:val="0039502A"/>
    <w:rsid w:val="003A69FA"/>
    <w:rsid w:val="003B2E2A"/>
    <w:rsid w:val="003B3BCA"/>
    <w:rsid w:val="003B41E1"/>
    <w:rsid w:val="003D31BC"/>
    <w:rsid w:val="003D6442"/>
    <w:rsid w:val="003F33B9"/>
    <w:rsid w:val="003F7D88"/>
    <w:rsid w:val="004032F6"/>
    <w:rsid w:val="00405F21"/>
    <w:rsid w:val="00421B90"/>
    <w:rsid w:val="00426A40"/>
    <w:rsid w:val="00427B7B"/>
    <w:rsid w:val="00435C9D"/>
    <w:rsid w:val="00435F62"/>
    <w:rsid w:val="004411C3"/>
    <w:rsid w:val="004434C4"/>
    <w:rsid w:val="004552A4"/>
    <w:rsid w:val="004627C3"/>
    <w:rsid w:val="004711E1"/>
    <w:rsid w:val="004824D1"/>
    <w:rsid w:val="00485142"/>
    <w:rsid w:val="00490415"/>
    <w:rsid w:val="00491400"/>
    <w:rsid w:val="00491546"/>
    <w:rsid w:val="0049312E"/>
    <w:rsid w:val="004931AA"/>
    <w:rsid w:val="004A2BF0"/>
    <w:rsid w:val="004B719F"/>
    <w:rsid w:val="004E34E3"/>
    <w:rsid w:val="004E41A4"/>
    <w:rsid w:val="004F323F"/>
    <w:rsid w:val="004F6784"/>
    <w:rsid w:val="004F7C40"/>
    <w:rsid w:val="004F7D85"/>
    <w:rsid w:val="005076B6"/>
    <w:rsid w:val="00513B72"/>
    <w:rsid w:val="005154B4"/>
    <w:rsid w:val="00525128"/>
    <w:rsid w:val="00532E44"/>
    <w:rsid w:val="00541229"/>
    <w:rsid w:val="00547609"/>
    <w:rsid w:val="005502DA"/>
    <w:rsid w:val="00563F43"/>
    <w:rsid w:val="005A0F73"/>
    <w:rsid w:val="005B3342"/>
    <w:rsid w:val="005B73CB"/>
    <w:rsid w:val="005D043E"/>
    <w:rsid w:val="005D0F03"/>
    <w:rsid w:val="005D16FB"/>
    <w:rsid w:val="005D5416"/>
    <w:rsid w:val="005E15BE"/>
    <w:rsid w:val="005E7D8C"/>
    <w:rsid w:val="006011E4"/>
    <w:rsid w:val="006015F9"/>
    <w:rsid w:val="006077AD"/>
    <w:rsid w:val="006079AD"/>
    <w:rsid w:val="00610895"/>
    <w:rsid w:val="00621078"/>
    <w:rsid w:val="006261D0"/>
    <w:rsid w:val="00632C61"/>
    <w:rsid w:val="006334B2"/>
    <w:rsid w:val="006356BE"/>
    <w:rsid w:val="006422EB"/>
    <w:rsid w:val="006447ED"/>
    <w:rsid w:val="006509CC"/>
    <w:rsid w:val="006547DD"/>
    <w:rsid w:val="0065794D"/>
    <w:rsid w:val="006620A2"/>
    <w:rsid w:val="00664FAC"/>
    <w:rsid w:val="0067250B"/>
    <w:rsid w:val="00677BBB"/>
    <w:rsid w:val="00685A21"/>
    <w:rsid w:val="00686E86"/>
    <w:rsid w:val="00692970"/>
    <w:rsid w:val="006A075D"/>
    <w:rsid w:val="006B0F1A"/>
    <w:rsid w:val="006B5019"/>
    <w:rsid w:val="006C24D7"/>
    <w:rsid w:val="006C5701"/>
    <w:rsid w:val="006C6699"/>
    <w:rsid w:val="006D21C5"/>
    <w:rsid w:val="006E6F4D"/>
    <w:rsid w:val="006F4C04"/>
    <w:rsid w:val="00713296"/>
    <w:rsid w:val="007208FB"/>
    <w:rsid w:val="00724A51"/>
    <w:rsid w:val="00727BAE"/>
    <w:rsid w:val="00736EE1"/>
    <w:rsid w:val="00737BDF"/>
    <w:rsid w:val="00742A61"/>
    <w:rsid w:val="00746F9E"/>
    <w:rsid w:val="007520C5"/>
    <w:rsid w:val="007526F6"/>
    <w:rsid w:val="00755D67"/>
    <w:rsid w:val="00756B59"/>
    <w:rsid w:val="00772A19"/>
    <w:rsid w:val="007853DD"/>
    <w:rsid w:val="007942DA"/>
    <w:rsid w:val="007A2939"/>
    <w:rsid w:val="007A4198"/>
    <w:rsid w:val="007B12AD"/>
    <w:rsid w:val="007B1CC3"/>
    <w:rsid w:val="007B2BD9"/>
    <w:rsid w:val="007C2D84"/>
    <w:rsid w:val="007C72D8"/>
    <w:rsid w:val="007C74B3"/>
    <w:rsid w:val="007D0E08"/>
    <w:rsid w:val="007D3F8F"/>
    <w:rsid w:val="007D4F56"/>
    <w:rsid w:val="007D6355"/>
    <w:rsid w:val="007E017A"/>
    <w:rsid w:val="007E611C"/>
    <w:rsid w:val="007F78C2"/>
    <w:rsid w:val="0080683D"/>
    <w:rsid w:val="00814902"/>
    <w:rsid w:val="0081511E"/>
    <w:rsid w:val="008414C4"/>
    <w:rsid w:val="008424E0"/>
    <w:rsid w:val="00843A8F"/>
    <w:rsid w:val="00844AE6"/>
    <w:rsid w:val="00850490"/>
    <w:rsid w:val="00853922"/>
    <w:rsid w:val="00854D8C"/>
    <w:rsid w:val="00856F69"/>
    <w:rsid w:val="00863281"/>
    <w:rsid w:val="00867B17"/>
    <w:rsid w:val="00887A38"/>
    <w:rsid w:val="0089206B"/>
    <w:rsid w:val="008B4222"/>
    <w:rsid w:val="008B4E0D"/>
    <w:rsid w:val="008C22DA"/>
    <w:rsid w:val="008C6FDA"/>
    <w:rsid w:val="008D24F9"/>
    <w:rsid w:val="008D6548"/>
    <w:rsid w:val="008D6FAE"/>
    <w:rsid w:val="008E0A37"/>
    <w:rsid w:val="008E16D1"/>
    <w:rsid w:val="008E79D3"/>
    <w:rsid w:val="008F6727"/>
    <w:rsid w:val="0090192C"/>
    <w:rsid w:val="00904F08"/>
    <w:rsid w:val="00906134"/>
    <w:rsid w:val="00906CAB"/>
    <w:rsid w:val="00907404"/>
    <w:rsid w:val="009108A1"/>
    <w:rsid w:val="00911766"/>
    <w:rsid w:val="00914C58"/>
    <w:rsid w:val="009206FD"/>
    <w:rsid w:val="00933F85"/>
    <w:rsid w:val="00943679"/>
    <w:rsid w:val="0095242A"/>
    <w:rsid w:val="00954D9D"/>
    <w:rsid w:val="00957C81"/>
    <w:rsid w:val="009636CC"/>
    <w:rsid w:val="009673EE"/>
    <w:rsid w:val="00974FEE"/>
    <w:rsid w:val="009955B1"/>
    <w:rsid w:val="009A0969"/>
    <w:rsid w:val="009A41F3"/>
    <w:rsid w:val="009A4B02"/>
    <w:rsid w:val="009B180B"/>
    <w:rsid w:val="009B7031"/>
    <w:rsid w:val="009C23C0"/>
    <w:rsid w:val="009C7970"/>
    <w:rsid w:val="009E221E"/>
    <w:rsid w:val="009E3C2D"/>
    <w:rsid w:val="009E46D0"/>
    <w:rsid w:val="009E52A5"/>
    <w:rsid w:val="00A01B3E"/>
    <w:rsid w:val="00A100DC"/>
    <w:rsid w:val="00A1012D"/>
    <w:rsid w:val="00A16838"/>
    <w:rsid w:val="00A17D54"/>
    <w:rsid w:val="00A17FD9"/>
    <w:rsid w:val="00A2086F"/>
    <w:rsid w:val="00A22B8D"/>
    <w:rsid w:val="00A24EE9"/>
    <w:rsid w:val="00A337AB"/>
    <w:rsid w:val="00A36252"/>
    <w:rsid w:val="00A400B2"/>
    <w:rsid w:val="00A42652"/>
    <w:rsid w:val="00A45E29"/>
    <w:rsid w:val="00A468D3"/>
    <w:rsid w:val="00A53044"/>
    <w:rsid w:val="00A5398C"/>
    <w:rsid w:val="00A53C14"/>
    <w:rsid w:val="00A678D7"/>
    <w:rsid w:val="00A833BA"/>
    <w:rsid w:val="00A92321"/>
    <w:rsid w:val="00AA417D"/>
    <w:rsid w:val="00AA71FA"/>
    <w:rsid w:val="00AC716C"/>
    <w:rsid w:val="00AE5EEA"/>
    <w:rsid w:val="00AF0436"/>
    <w:rsid w:val="00AF0C11"/>
    <w:rsid w:val="00B034C2"/>
    <w:rsid w:val="00B12811"/>
    <w:rsid w:val="00B21BF5"/>
    <w:rsid w:val="00B223E5"/>
    <w:rsid w:val="00B31D82"/>
    <w:rsid w:val="00B336B1"/>
    <w:rsid w:val="00B36801"/>
    <w:rsid w:val="00B3770E"/>
    <w:rsid w:val="00B40F31"/>
    <w:rsid w:val="00B439CF"/>
    <w:rsid w:val="00B449DA"/>
    <w:rsid w:val="00B50EC3"/>
    <w:rsid w:val="00B63364"/>
    <w:rsid w:val="00B73E1F"/>
    <w:rsid w:val="00B80CF2"/>
    <w:rsid w:val="00B82F79"/>
    <w:rsid w:val="00B95F64"/>
    <w:rsid w:val="00BB7F3D"/>
    <w:rsid w:val="00BC0563"/>
    <w:rsid w:val="00BC1E0F"/>
    <w:rsid w:val="00BC71D7"/>
    <w:rsid w:val="00BD09DF"/>
    <w:rsid w:val="00BD283C"/>
    <w:rsid w:val="00BD570C"/>
    <w:rsid w:val="00BF5FBB"/>
    <w:rsid w:val="00C02211"/>
    <w:rsid w:val="00C023FC"/>
    <w:rsid w:val="00C02EAF"/>
    <w:rsid w:val="00C03C72"/>
    <w:rsid w:val="00C04622"/>
    <w:rsid w:val="00C15E55"/>
    <w:rsid w:val="00C337EA"/>
    <w:rsid w:val="00C3510A"/>
    <w:rsid w:val="00C36CE8"/>
    <w:rsid w:val="00C41622"/>
    <w:rsid w:val="00C47B53"/>
    <w:rsid w:val="00C50B53"/>
    <w:rsid w:val="00C54505"/>
    <w:rsid w:val="00C64113"/>
    <w:rsid w:val="00C64E0D"/>
    <w:rsid w:val="00C70FDC"/>
    <w:rsid w:val="00C72860"/>
    <w:rsid w:val="00C75AE6"/>
    <w:rsid w:val="00C75E51"/>
    <w:rsid w:val="00C931FF"/>
    <w:rsid w:val="00C97302"/>
    <w:rsid w:val="00CA3E64"/>
    <w:rsid w:val="00CA495C"/>
    <w:rsid w:val="00CB13CD"/>
    <w:rsid w:val="00CB71FB"/>
    <w:rsid w:val="00CC087F"/>
    <w:rsid w:val="00CC5389"/>
    <w:rsid w:val="00CC63BA"/>
    <w:rsid w:val="00CD281F"/>
    <w:rsid w:val="00CE0548"/>
    <w:rsid w:val="00CE7C6E"/>
    <w:rsid w:val="00D16F1C"/>
    <w:rsid w:val="00D20A83"/>
    <w:rsid w:val="00D22CCA"/>
    <w:rsid w:val="00D3301F"/>
    <w:rsid w:val="00D4691F"/>
    <w:rsid w:val="00D55536"/>
    <w:rsid w:val="00D7381D"/>
    <w:rsid w:val="00D8040B"/>
    <w:rsid w:val="00D80ABE"/>
    <w:rsid w:val="00D82F84"/>
    <w:rsid w:val="00D83AA9"/>
    <w:rsid w:val="00D84E88"/>
    <w:rsid w:val="00D9240F"/>
    <w:rsid w:val="00D95966"/>
    <w:rsid w:val="00D95A3B"/>
    <w:rsid w:val="00DC243A"/>
    <w:rsid w:val="00DC6238"/>
    <w:rsid w:val="00DD7509"/>
    <w:rsid w:val="00DE011E"/>
    <w:rsid w:val="00DE2D5C"/>
    <w:rsid w:val="00DE34B0"/>
    <w:rsid w:val="00DE5808"/>
    <w:rsid w:val="00DF0D8B"/>
    <w:rsid w:val="00DF30FA"/>
    <w:rsid w:val="00DF4BBF"/>
    <w:rsid w:val="00DF5AFF"/>
    <w:rsid w:val="00E04077"/>
    <w:rsid w:val="00E05E1B"/>
    <w:rsid w:val="00E11F35"/>
    <w:rsid w:val="00E12F7E"/>
    <w:rsid w:val="00E14A6B"/>
    <w:rsid w:val="00E27543"/>
    <w:rsid w:val="00E308AB"/>
    <w:rsid w:val="00E344C5"/>
    <w:rsid w:val="00E36858"/>
    <w:rsid w:val="00E43AB3"/>
    <w:rsid w:val="00E53097"/>
    <w:rsid w:val="00E5595B"/>
    <w:rsid w:val="00E57272"/>
    <w:rsid w:val="00E774FB"/>
    <w:rsid w:val="00E80709"/>
    <w:rsid w:val="00E81587"/>
    <w:rsid w:val="00E919E6"/>
    <w:rsid w:val="00E935BD"/>
    <w:rsid w:val="00E94EBF"/>
    <w:rsid w:val="00EA1D6C"/>
    <w:rsid w:val="00EA694F"/>
    <w:rsid w:val="00EB0FB4"/>
    <w:rsid w:val="00EB15A5"/>
    <w:rsid w:val="00EB34D1"/>
    <w:rsid w:val="00EC3A4F"/>
    <w:rsid w:val="00EC79D3"/>
    <w:rsid w:val="00ED596B"/>
    <w:rsid w:val="00EE074C"/>
    <w:rsid w:val="00EE1C44"/>
    <w:rsid w:val="00EF07B0"/>
    <w:rsid w:val="00EF3CB1"/>
    <w:rsid w:val="00EF6F46"/>
    <w:rsid w:val="00F02EBB"/>
    <w:rsid w:val="00F06A28"/>
    <w:rsid w:val="00F22C48"/>
    <w:rsid w:val="00F22CB2"/>
    <w:rsid w:val="00F248C9"/>
    <w:rsid w:val="00F2761F"/>
    <w:rsid w:val="00F27F09"/>
    <w:rsid w:val="00F32E03"/>
    <w:rsid w:val="00F3400D"/>
    <w:rsid w:val="00F35718"/>
    <w:rsid w:val="00F3680D"/>
    <w:rsid w:val="00F43924"/>
    <w:rsid w:val="00F5211E"/>
    <w:rsid w:val="00F543B4"/>
    <w:rsid w:val="00F66AC7"/>
    <w:rsid w:val="00F74D9A"/>
    <w:rsid w:val="00F9540E"/>
    <w:rsid w:val="00FB10E9"/>
    <w:rsid w:val="00FB4031"/>
    <w:rsid w:val="00FC3FFA"/>
    <w:rsid w:val="00FD071D"/>
    <w:rsid w:val="00FF01E6"/>
    <w:rsid w:val="00FF4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4C519C"/>
  <w14:defaultImageDpi w14:val="96"/>
  <w15:docId w15:val="{673C0510-96DB-428B-A8F6-299B273A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BF6"/>
    <w:rPr>
      <w:rFonts w:cs="Arial"/>
      <w:lang w:val="en-US" w:eastAsia="en-US"/>
    </w:rPr>
  </w:style>
  <w:style w:type="paragraph" w:styleId="Heading1">
    <w:name w:val="heading 1"/>
    <w:basedOn w:val="Normal"/>
    <w:next w:val="Normal"/>
    <w:link w:val="Heading1Char"/>
    <w:uiPriority w:val="9"/>
    <w:qFormat/>
    <w:rsid w:val="006334B2"/>
    <w:pPr>
      <w:keepNext/>
      <w:keepLines/>
      <w:spacing w:before="240" w:line="259" w:lineRule="auto"/>
      <w:ind w:firstLine="0"/>
      <w:jc w:val="left"/>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F6727"/>
    <w:pPr>
      <w:keepNext/>
      <w:numPr>
        <w:numId w:val="16"/>
      </w:numPr>
      <w:spacing w:line="240" w:lineRule="auto"/>
      <w:jc w:val="left"/>
      <w:outlineLvl w:val="2"/>
    </w:pPr>
    <w:rPr>
      <w:rFonts w:ascii="Arial"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F6727"/>
    <w:rPr>
      <w:rFonts w:ascii="Arial" w:hAnsi="Arial" w:cs="Times New Roman"/>
      <w:b/>
      <w:bCs/>
      <w:sz w:val="26"/>
      <w:szCs w:val="26"/>
      <w:lang w:val="id-ID" w:eastAsia="en-US"/>
    </w:rPr>
  </w:style>
  <w:style w:type="paragraph" w:styleId="BodyText2">
    <w:name w:val="Body Text 2"/>
    <w:basedOn w:val="Normal"/>
    <w:link w:val="BodyText2Char"/>
    <w:uiPriority w:val="99"/>
    <w:rsid w:val="0013415B"/>
    <w:pPr>
      <w:spacing w:after="120" w:line="48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locked/>
    <w:rsid w:val="0013415B"/>
    <w:rPr>
      <w:rFonts w:ascii="Times New Roman" w:hAnsi="Times New Roman" w:cs="Times New Roman"/>
      <w:sz w:val="24"/>
      <w:szCs w:val="24"/>
      <w:lang w:val="id-ID" w:eastAsia="x-none"/>
    </w:rPr>
  </w:style>
  <w:style w:type="paragraph" w:styleId="BodyTextIndent2">
    <w:name w:val="Body Text Indent 2"/>
    <w:basedOn w:val="Normal"/>
    <w:link w:val="BodyTextIndent2Char"/>
    <w:uiPriority w:val="99"/>
    <w:unhideWhenUsed/>
    <w:rsid w:val="0013415B"/>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locked/>
    <w:rsid w:val="0013415B"/>
    <w:rPr>
      <w:rFonts w:ascii="Times New Roman" w:hAnsi="Times New Roman" w:cs="Times New Roman"/>
      <w:sz w:val="24"/>
    </w:rPr>
  </w:style>
  <w:style w:type="paragraph" w:styleId="ListParagraph">
    <w:name w:val="List Paragraph"/>
    <w:basedOn w:val="Normal"/>
    <w:link w:val="ListParagraphChar"/>
    <w:uiPriority w:val="1"/>
    <w:qFormat/>
    <w:rsid w:val="0013415B"/>
    <w:pPr>
      <w:spacing w:line="360" w:lineRule="auto"/>
      <w:ind w:left="720"/>
      <w:contextualSpacing/>
    </w:pPr>
    <w:rPr>
      <w:rFonts w:ascii="Times New Roman" w:hAnsi="Times New Roman"/>
      <w:sz w:val="24"/>
    </w:rPr>
  </w:style>
  <w:style w:type="paragraph" w:styleId="NoSpacing">
    <w:name w:val="No Spacing"/>
    <w:uiPriority w:val="1"/>
    <w:qFormat/>
    <w:rsid w:val="0013415B"/>
    <w:pPr>
      <w:spacing w:line="240" w:lineRule="auto"/>
    </w:pPr>
    <w:rPr>
      <w:rFonts w:cs="Arial"/>
      <w:lang w:val="en-US" w:eastAsia="en-US"/>
    </w:rPr>
  </w:style>
  <w:style w:type="paragraph" w:styleId="Header">
    <w:name w:val="header"/>
    <w:basedOn w:val="Normal"/>
    <w:link w:val="HeaderChar"/>
    <w:uiPriority w:val="99"/>
    <w:unhideWhenUsed/>
    <w:rsid w:val="0013415B"/>
    <w:pPr>
      <w:tabs>
        <w:tab w:val="center" w:pos="4320"/>
        <w:tab w:val="right" w:pos="8640"/>
      </w:tabs>
      <w:spacing w:line="240" w:lineRule="auto"/>
    </w:pPr>
  </w:style>
  <w:style w:type="character" w:customStyle="1" w:styleId="HeaderChar">
    <w:name w:val="Header Char"/>
    <w:basedOn w:val="DefaultParagraphFont"/>
    <w:link w:val="Header"/>
    <w:uiPriority w:val="99"/>
    <w:locked/>
    <w:rsid w:val="0013415B"/>
    <w:rPr>
      <w:rFonts w:cs="Times New Roman"/>
    </w:rPr>
  </w:style>
  <w:style w:type="paragraph" w:styleId="Footer">
    <w:name w:val="footer"/>
    <w:basedOn w:val="Normal"/>
    <w:link w:val="FooterChar"/>
    <w:uiPriority w:val="99"/>
    <w:unhideWhenUsed/>
    <w:rsid w:val="0013415B"/>
    <w:pPr>
      <w:tabs>
        <w:tab w:val="center" w:pos="4320"/>
        <w:tab w:val="right" w:pos="8640"/>
      </w:tabs>
      <w:spacing w:line="240" w:lineRule="auto"/>
    </w:pPr>
  </w:style>
  <w:style w:type="character" w:customStyle="1" w:styleId="FooterChar">
    <w:name w:val="Footer Char"/>
    <w:basedOn w:val="DefaultParagraphFont"/>
    <w:link w:val="Footer"/>
    <w:uiPriority w:val="99"/>
    <w:locked/>
    <w:rsid w:val="0013415B"/>
    <w:rPr>
      <w:rFonts w:cs="Times New Roman"/>
    </w:rPr>
  </w:style>
  <w:style w:type="character" w:styleId="Emphasis">
    <w:name w:val="Emphasis"/>
    <w:basedOn w:val="DefaultParagraphFont"/>
    <w:uiPriority w:val="20"/>
    <w:qFormat/>
    <w:rsid w:val="00BD570C"/>
    <w:rPr>
      <w:rFonts w:cs="Times New Roman"/>
      <w:i/>
      <w:iCs/>
    </w:rPr>
  </w:style>
  <w:style w:type="paragraph" w:styleId="FootnoteText">
    <w:name w:val="footnote text"/>
    <w:basedOn w:val="Normal"/>
    <w:link w:val="FootnoteTextChar"/>
    <w:uiPriority w:val="99"/>
    <w:unhideWhenUsed/>
    <w:rsid w:val="007520C5"/>
    <w:pPr>
      <w:spacing w:line="240" w:lineRule="auto"/>
    </w:pPr>
    <w:rPr>
      <w:sz w:val="20"/>
      <w:szCs w:val="20"/>
    </w:rPr>
  </w:style>
  <w:style w:type="character" w:customStyle="1" w:styleId="FootnoteTextChar">
    <w:name w:val="Footnote Text Char"/>
    <w:basedOn w:val="DefaultParagraphFont"/>
    <w:link w:val="FootnoteText"/>
    <w:uiPriority w:val="99"/>
    <w:qFormat/>
    <w:locked/>
    <w:rsid w:val="007520C5"/>
    <w:rPr>
      <w:rFonts w:cs="Times New Roman"/>
      <w:sz w:val="20"/>
      <w:szCs w:val="20"/>
    </w:rPr>
  </w:style>
  <w:style w:type="character" w:styleId="FootnoteReference">
    <w:name w:val="footnote reference"/>
    <w:basedOn w:val="DefaultParagraphFont"/>
    <w:uiPriority w:val="99"/>
    <w:semiHidden/>
    <w:unhideWhenUsed/>
    <w:rsid w:val="007520C5"/>
    <w:rPr>
      <w:rFonts w:cs="Times New Roman"/>
      <w:vertAlign w:val="superscript"/>
    </w:rPr>
  </w:style>
  <w:style w:type="character" w:styleId="Hyperlink">
    <w:name w:val="Hyperlink"/>
    <w:basedOn w:val="DefaultParagraphFont"/>
    <w:uiPriority w:val="99"/>
    <w:unhideWhenUsed/>
    <w:rsid w:val="001B731F"/>
    <w:rPr>
      <w:rFonts w:cs="Times New Roman"/>
      <w:color w:val="0000FF"/>
      <w:u w:val="single"/>
    </w:rPr>
  </w:style>
  <w:style w:type="character" w:styleId="SubtleEmphasis">
    <w:name w:val="Subtle Emphasis"/>
    <w:basedOn w:val="DefaultParagraphFont"/>
    <w:uiPriority w:val="19"/>
    <w:qFormat/>
    <w:rsid w:val="00AA71FA"/>
    <w:rPr>
      <w:rFonts w:cs="Times New Roman"/>
      <w:i/>
      <w:iCs/>
      <w:color w:val="808080" w:themeColor="text1" w:themeTint="7F"/>
    </w:rPr>
  </w:style>
  <w:style w:type="paragraph" w:styleId="Bibliography">
    <w:name w:val="Bibliography"/>
    <w:basedOn w:val="Normal"/>
    <w:next w:val="Normal"/>
    <w:uiPriority w:val="37"/>
    <w:unhideWhenUsed/>
    <w:rsid w:val="00116949"/>
    <w:pPr>
      <w:spacing w:line="240" w:lineRule="auto"/>
      <w:ind w:left="720" w:hanging="720"/>
    </w:pPr>
  </w:style>
  <w:style w:type="table" w:styleId="TableGrid">
    <w:name w:val="Table Grid"/>
    <w:basedOn w:val="TableNormal"/>
    <w:uiPriority w:val="59"/>
    <w:rsid w:val="00DE3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8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87B"/>
    <w:rPr>
      <w:rFonts w:ascii="Tahoma" w:hAnsi="Tahoma" w:cs="Tahoma"/>
      <w:sz w:val="16"/>
      <w:szCs w:val="16"/>
      <w:lang w:val="en-US" w:eastAsia="en-US"/>
    </w:rPr>
  </w:style>
  <w:style w:type="paragraph" w:customStyle="1" w:styleId="JW71References">
    <w:name w:val="JW_7.1_References"/>
    <w:basedOn w:val="Normal"/>
    <w:qFormat/>
    <w:rsid w:val="00FC3FFA"/>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 w:type="paragraph" w:styleId="ListBullet">
    <w:name w:val="List Bullet"/>
    <w:basedOn w:val="Normal"/>
    <w:uiPriority w:val="99"/>
    <w:unhideWhenUsed/>
    <w:rsid w:val="00491400"/>
    <w:pPr>
      <w:numPr>
        <w:numId w:val="17"/>
      </w:numPr>
      <w:contextualSpacing/>
    </w:pPr>
  </w:style>
  <w:style w:type="paragraph" w:customStyle="1" w:styleId="JW2authorcorrespondence">
    <w:name w:val="JW_2_author_correspondence"/>
    <w:qFormat/>
    <w:rsid w:val="00D8040B"/>
    <w:pPr>
      <w:kinsoku w:val="0"/>
      <w:overflowPunct w:val="0"/>
      <w:autoSpaceDE w:val="0"/>
      <w:autoSpaceDN w:val="0"/>
      <w:adjustRightInd w:val="0"/>
      <w:snapToGrid w:val="0"/>
      <w:spacing w:line="200" w:lineRule="atLeast"/>
      <w:ind w:left="311" w:hanging="198"/>
      <w:jc w:val="left"/>
    </w:pPr>
    <w:rPr>
      <w:rFonts w:ascii="Palatino Linotype" w:eastAsia="Times New Roman" w:hAnsi="Palatino Linotype"/>
      <w:color w:val="000000"/>
      <w:sz w:val="18"/>
      <w:szCs w:val="20"/>
      <w:lang w:val="en-US" w:eastAsia="de-DE" w:bidi="en-US"/>
    </w:rPr>
  </w:style>
  <w:style w:type="paragraph" w:customStyle="1" w:styleId="JW14history">
    <w:name w:val="JW_1.4_history"/>
    <w:basedOn w:val="Normal"/>
    <w:next w:val="Normal"/>
    <w:qFormat/>
    <w:rsid w:val="00D8040B"/>
    <w:pPr>
      <w:adjustRightInd w:val="0"/>
      <w:snapToGrid w:val="0"/>
      <w:spacing w:before="120" w:line="200" w:lineRule="atLeast"/>
      <w:ind w:left="113" w:firstLine="0"/>
      <w:jc w:val="left"/>
    </w:pPr>
    <w:rPr>
      <w:rFonts w:ascii="Palatino Linotype" w:eastAsia="Times New Roman" w:hAnsi="Palatino Linotype" w:cs="Times New Roman"/>
      <w:color w:val="000000"/>
      <w:sz w:val="18"/>
      <w:szCs w:val="20"/>
      <w:lang w:eastAsia="de-DE" w:bidi="en-US"/>
    </w:rPr>
  </w:style>
  <w:style w:type="paragraph" w:styleId="NormalWeb">
    <w:name w:val="Normal (Web)"/>
    <w:basedOn w:val="Normal"/>
    <w:uiPriority w:val="99"/>
    <w:semiHidden/>
    <w:unhideWhenUsed/>
    <w:rsid w:val="00C03C72"/>
    <w:pPr>
      <w:spacing w:before="100" w:beforeAutospacing="1" w:after="100" w:afterAutospacing="1" w:line="240" w:lineRule="auto"/>
      <w:ind w:firstLine="0"/>
      <w:jc w:val="left"/>
    </w:pPr>
    <w:rPr>
      <w:rFonts w:ascii="Times New Roman" w:eastAsia="Times New Roman" w:hAnsi="Times New Roman" w:cs="Times New Roman"/>
      <w:sz w:val="24"/>
      <w:szCs w:val="24"/>
      <w:lang w:val="en-ID" w:eastAsia="en-ID"/>
    </w:rPr>
  </w:style>
  <w:style w:type="character" w:customStyle="1" w:styleId="ListParagraphChar">
    <w:name w:val="List Paragraph Char"/>
    <w:link w:val="ListParagraph"/>
    <w:uiPriority w:val="1"/>
    <w:locked/>
    <w:rsid w:val="00C03C72"/>
    <w:rPr>
      <w:rFonts w:ascii="Times New Roman" w:hAnsi="Times New Roman" w:cs="Arial"/>
      <w:sz w:val="24"/>
      <w:lang w:val="en-US" w:eastAsia="en-US"/>
    </w:rPr>
  </w:style>
  <w:style w:type="character" w:styleId="Strong">
    <w:name w:val="Strong"/>
    <w:basedOn w:val="DefaultParagraphFont"/>
    <w:uiPriority w:val="22"/>
    <w:qFormat/>
    <w:rsid w:val="00B336B1"/>
    <w:rPr>
      <w:b/>
      <w:bCs/>
    </w:rPr>
  </w:style>
  <w:style w:type="character" w:customStyle="1" w:styleId="Heading1Char">
    <w:name w:val="Heading 1 Char"/>
    <w:basedOn w:val="DefaultParagraphFont"/>
    <w:link w:val="Heading1"/>
    <w:uiPriority w:val="9"/>
    <w:rsid w:val="006334B2"/>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607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7627">
      <w:bodyDiv w:val="1"/>
      <w:marLeft w:val="0"/>
      <w:marRight w:val="0"/>
      <w:marTop w:val="0"/>
      <w:marBottom w:val="0"/>
      <w:divBdr>
        <w:top w:val="none" w:sz="0" w:space="0" w:color="auto"/>
        <w:left w:val="none" w:sz="0" w:space="0" w:color="auto"/>
        <w:bottom w:val="none" w:sz="0" w:space="0" w:color="auto"/>
        <w:right w:val="none" w:sz="0" w:space="0" w:color="auto"/>
      </w:divBdr>
    </w:div>
    <w:div w:id="159590431">
      <w:bodyDiv w:val="1"/>
      <w:marLeft w:val="0"/>
      <w:marRight w:val="0"/>
      <w:marTop w:val="0"/>
      <w:marBottom w:val="0"/>
      <w:divBdr>
        <w:top w:val="none" w:sz="0" w:space="0" w:color="auto"/>
        <w:left w:val="none" w:sz="0" w:space="0" w:color="auto"/>
        <w:bottom w:val="none" w:sz="0" w:space="0" w:color="auto"/>
        <w:right w:val="none" w:sz="0" w:space="0" w:color="auto"/>
      </w:divBdr>
    </w:div>
    <w:div w:id="165368568">
      <w:bodyDiv w:val="1"/>
      <w:marLeft w:val="0"/>
      <w:marRight w:val="0"/>
      <w:marTop w:val="0"/>
      <w:marBottom w:val="0"/>
      <w:divBdr>
        <w:top w:val="none" w:sz="0" w:space="0" w:color="auto"/>
        <w:left w:val="none" w:sz="0" w:space="0" w:color="auto"/>
        <w:bottom w:val="none" w:sz="0" w:space="0" w:color="auto"/>
        <w:right w:val="none" w:sz="0" w:space="0" w:color="auto"/>
      </w:divBdr>
    </w:div>
    <w:div w:id="217908698">
      <w:bodyDiv w:val="1"/>
      <w:marLeft w:val="0"/>
      <w:marRight w:val="0"/>
      <w:marTop w:val="0"/>
      <w:marBottom w:val="0"/>
      <w:divBdr>
        <w:top w:val="none" w:sz="0" w:space="0" w:color="auto"/>
        <w:left w:val="none" w:sz="0" w:space="0" w:color="auto"/>
        <w:bottom w:val="none" w:sz="0" w:space="0" w:color="auto"/>
        <w:right w:val="none" w:sz="0" w:space="0" w:color="auto"/>
      </w:divBdr>
    </w:div>
    <w:div w:id="252276629">
      <w:bodyDiv w:val="1"/>
      <w:marLeft w:val="0"/>
      <w:marRight w:val="0"/>
      <w:marTop w:val="0"/>
      <w:marBottom w:val="0"/>
      <w:divBdr>
        <w:top w:val="none" w:sz="0" w:space="0" w:color="auto"/>
        <w:left w:val="none" w:sz="0" w:space="0" w:color="auto"/>
        <w:bottom w:val="none" w:sz="0" w:space="0" w:color="auto"/>
        <w:right w:val="none" w:sz="0" w:space="0" w:color="auto"/>
      </w:divBdr>
    </w:div>
    <w:div w:id="340396099">
      <w:bodyDiv w:val="1"/>
      <w:marLeft w:val="0"/>
      <w:marRight w:val="0"/>
      <w:marTop w:val="0"/>
      <w:marBottom w:val="0"/>
      <w:divBdr>
        <w:top w:val="none" w:sz="0" w:space="0" w:color="auto"/>
        <w:left w:val="none" w:sz="0" w:space="0" w:color="auto"/>
        <w:bottom w:val="none" w:sz="0" w:space="0" w:color="auto"/>
        <w:right w:val="none" w:sz="0" w:space="0" w:color="auto"/>
      </w:divBdr>
    </w:div>
    <w:div w:id="409813589">
      <w:bodyDiv w:val="1"/>
      <w:marLeft w:val="0"/>
      <w:marRight w:val="0"/>
      <w:marTop w:val="0"/>
      <w:marBottom w:val="0"/>
      <w:divBdr>
        <w:top w:val="none" w:sz="0" w:space="0" w:color="auto"/>
        <w:left w:val="none" w:sz="0" w:space="0" w:color="auto"/>
        <w:bottom w:val="none" w:sz="0" w:space="0" w:color="auto"/>
        <w:right w:val="none" w:sz="0" w:space="0" w:color="auto"/>
      </w:divBdr>
    </w:div>
    <w:div w:id="431587140">
      <w:bodyDiv w:val="1"/>
      <w:marLeft w:val="0"/>
      <w:marRight w:val="0"/>
      <w:marTop w:val="0"/>
      <w:marBottom w:val="0"/>
      <w:divBdr>
        <w:top w:val="none" w:sz="0" w:space="0" w:color="auto"/>
        <w:left w:val="none" w:sz="0" w:space="0" w:color="auto"/>
        <w:bottom w:val="none" w:sz="0" w:space="0" w:color="auto"/>
        <w:right w:val="none" w:sz="0" w:space="0" w:color="auto"/>
      </w:divBdr>
    </w:div>
    <w:div w:id="446588613">
      <w:bodyDiv w:val="1"/>
      <w:marLeft w:val="0"/>
      <w:marRight w:val="0"/>
      <w:marTop w:val="0"/>
      <w:marBottom w:val="0"/>
      <w:divBdr>
        <w:top w:val="none" w:sz="0" w:space="0" w:color="auto"/>
        <w:left w:val="none" w:sz="0" w:space="0" w:color="auto"/>
        <w:bottom w:val="none" w:sz="0" w:space="0" w:color="auto"/>
        <w:right w:val="none" w:sz="0" w:space="0" w:color="auto"/>
      </w:divBdr>
    </w:div>
    <w:div w:id="446655871">
      <w:bodyDiv w:val="1"/>
      <w:marLeft w:val="0"/>
      <w:marRight w:val="0"/>
      <w:marTop w:val="0"/>
      <w:marBottom w:val="0"/>
      <w:divBdr>
        <w:top w:val="none" w:sz="0" w:space="0" w:color="auto"/>
        <w:left w:val="none" w:sz="0" w:space="0" w:color="auto"/>
        <w:bottom w:val="none" w:sz="0" w:space="0" w:color="auto"/>
        <w:right w:val="none" w:sz="0" w:space="0" w:color="auto"/>
      </w:divBdr>
    </w:div>
    <w:div w:id="522984641">
      <w:bodyDiv w:val="1"/>
      <w:marLeft w:val="0"/>
      <w:marRight w:val="0"/>
      <w:marTop w:val="0"/>
      <w:marBottom w:val="0"/>
      <w:divBdr>
        <w:top w:val="none" w:sz="0" w:space="0" w:color="auto"/>
        <w:left w:val="none" w:sz="0" w:space="0" w:color="auto"/>
        <w:bottom w:val="none" w:sz="0" w:space="0" w:color="auto"/>
        <w:right w:val="none" w:sz="0" w:space="0" w:color="auto"/>
      </w:divBdr>
    </w:div>
    <w:div w:id="616643676">
      <w:bodyDiv w:val="1"/>
      <w:marLeft w:val="0"/>
      <w:marRight w:val="0"/>
      <w:marTop w:val="0"/>
      <w:marBottom w:val="0"/>
      <w:divBdr>
        <w:top w:val="none" w:sz="0" w:space="0" w:color="auto"/>
        <w:left w:val="none" w:sz="0" w:space="0" w:color="auto"/>
        <w:bottom w:val="none" w:sz="0" w:space="0" w:color="auto"/>
        <w:right w:val="none" w:sz="0" w:space="0" w:color="auto"/>
      </w:divBdr>
    </w:div>
    <w:div w:id="760834734">
      <w:bodyDiv w:val="1"/>
      <w:marLeft w:val="0"/>
      <w:marRight w:val="0"/>
      <w:marTop w:val="0"/>
      <w:marBottom w:val="0"/>
      <w:divBdr>
        <w:top w:val="none" w:sz="0" w:space="0" w:color="auto"/>
        <w:left w:val="none" w:sz="0" w:space="0" w:color="auto"/>
        <w:bottom w:val="none" w:sz="0" w:space="0" w:color="auto"/>
        <w:right w:val="none" w:sz="0" w:space="0" w:color="auto"/>
      </w:divBdr>
    </w:div>
    <w:div w:id="818618848">
      <w:bodyDiv w:val="1"/>
      <w:marLeft w:val="0"/>
      <w:marRight w:val="0"/>
      <w:marTop w:val="0"/>
      <w:marBottom w:val="0"/>
      <w:divBdr>
        <w:top w:val="none" w:sz="0" w:space="0" w:color="auto"/>
        <w:left w:val="none" w:sz="0" w:space="0" w:color="auto"/>
        <w:bottom w:val="none" w:sz="0" w:space="0" w:color="auto"/>
        <w:right w:val="none" w:sz="0" w:space="0" w:color="auto"/>
      </w:divBdr>
    </w:div>
    <w:div w:id="1000624185">
      <w:bodyDiv w:val="1"/>
      <w:marLeft w:val="0"/>
      <w:marRight w:val="0"/>
      <w:marTop w:val="0"/>
      <w:marBottom w:val="0"/>
      <w:divBdr>
        <w:top w:val="none" w:sz="0" w:space="0" w:color="auto"/>
        <w:left w:val="none" w:sz="0" w:space="0" w:color="auto"/>
        <w:bottom w:val="none" w:sz="0" w:space="0" w:color="auto"/>
        <w:right w:val="none" w:sz="0" w:space="0" w:color="auto"/>
      </w:divBdr>
    </w:div>
    <w:div w:id="1236207335">
      <w:bodyDiv w:val="1"/>
      <w:marLeft w:val="0"/>
      <w:marRight w:val="0"/>
      <w:marTop w:val="0"/>
      <w:marBottom w:val="0"/>
      <w:divBdr>
        <w:top w:val="none" w:sz="0" w:space="0" w:color="auto"/>
        <w:left w:val="none" w:sz="0" w:space="0" w:color="auto"/>
        <w:bottom w:val="none" w:sz="0" w:space="0" w:color="auto"/>
        <w:right w:val="none" w:sz="0" w:space="0" w:color="auto"/>
      </w:divBdr>
    </w:div>
    <w:div w:id="1310095008">
      <w:bodyDiv w:val="1"/>
      <w:marLeft w:val="0"/>
      <w:marRight w:val="0"/>
      <w:marTop w:val="0"/>
      <w:marBottom w:val="0"/>
      <w:divBdr>
        <w:top w:val="none" w:sz="0" w:space="0" w:color="auto"/>
        <w:left w:val="none" w:sz="0" w:space="0" w:color="auto"/>
        <w:bottom w:val="none" w:sz="0" w:space="0" w:color="auto"/>
        <w:right w:val="none" w:sz="0" w:space="0" w:color="auto"/>
      </w:divBdr>
    </w:div>
    <w:div w:id="1409503144">
      <w:bodyDiv w:val="1"/>
      <w:marLeft w:val="0"/>
      <w:marRight w:val="0"/>
      <w:marTop w:val="0"/>
      <w:marBottom w:val="0"/>
      <w:divBdr>
        <w:top w:val="none" w:sz="0" w:space="0" w:color="auto"/>
        <w:left w:val="none" w:sz="0" w:space="0" w:color="auto"/>
        <w:bottom w:val="none" w:sz="0" w:space="0" w:color="auto"/>
        <w:right w:val="none" w:sz="0" w:space="0" w:color="auto"/>
      </w:divBdr>
    </w:div>
    <w:div w:id="1523740913">
      <w:bodyDiv w:val="1"/>
      <w:marLeft w:val="0"/>
      <w:marRight w:val="0"/>
      <w:marTop w:val="0"/>
      <w:marBottom w:val="0"/>
      <w:divBdr>
        <w:top w:val="none" w:sz="0" w:space="0" w:color="auto"/>
        <w:left w:val="none" w:sz="0" w:space="0" w:color="auto"/>
        <w:bottom w:val="none" w:sz="0" w:space="0" w:color="auto"/>
        <w:right w:val="none" w:sz="0" w:space="0" w:color="auto"/>
      </w:divBdr>
    </w:div>
    <w:div w:id="1552886737">
      <w:bodyDiv w:val="1"/>
      <w:marLeft w:val="0"/>
      <w:marRight w:val="0"/>
      <w:marTop w:val="0"/>
      <w:marBottom w:val="0"/>
      <w:divBdr>
        <w:top w:val="none" w:sz="0" w:space="0" w:color="auto"/>
        <w:left w:val="none" w:sz="0" w:space="0" w:color="auto"/>
        <w:bottom w:val="none" w:sz="0" w:space="0" w:color="auto"/>
        <w:right w:val="none" w:sz="0" w:space="0" w:color="auto"/>
      </w:divBdr>
    </w:div>
    <w:div w:id="1602757790">
      <w:bodyDiv w:val="1"/>
      <w:marLeft w:val="0"/>
      <w:marRight w:val="0"/>
      <w:marTop w:val="0"/>
      <w:marBottom w:val="0"/>
      <w:divBdr>
        <w:top w:val="none" w:sz="0" w:space="0" w:color="auto"/>
        <w:left w:val="none" w:sz="0" w:space="0" w:color="auto"/>
        <w:bottom w:val="none" w:sz="0" w:space="0" w:color="auto"/>
        <w:right w:val="none" w:sz="0" w:space="0" w:color="auto"/>
      </w:divBdr>
    </w:div>
    <w:div w:id="1640762353">
      <w:bodyDiv w:val="1"/>
      <w:marLeft w:val="0"/>
      <w:marRight w:val="0"/>
      <w:marTop w:val="0"/>
      <w:marBottom w:val="0"/>
      <w:divBdr>
        <w:top w:val="none" w:sz="0" w:space="0" w:color="auto"/>
        <w:left w:val="none" w:sz="0" w:space="0" w:color="auto"/>
        <w:bottom w:val="none" w:sz="0" w:space="0" w:color="auto"/>
        <w:right w:val="none" w:sz="0" w:space="0" w:color="auto"/>
      </w:divBdr>
    </w:div>
    <w:div w:id="1734507094">
      <w:bodyDiv w:val="1"/>
      <w:marLeft w:val="0"/>
      <w:marRight w:val="0"/>
      <w:marTop w:val="0"/>
      <w:marBottom w:val="0"/>
      <w:divBdr>
        <w:top w:val="none" w:sz="0" w:space="0" w:color="auto"/>
        <w:left w:val="none" w:sz="0" w:space="0" w:color="auto"/>
        <w:bottom w:val="none" w:sz="0" w:space="0" w:color="auto"/>
        <w:right w:val="none" w:sz="0" w:space="0" w:color="auto"/>
      </w:divBdr>
    </w:div>
    <w:div w:id="1765764252">
      <w:bodyDiv w:val="1"/>
      <w:marLeft w:val="0"/>
      <w:marRight w:val="0"/>
      <w:marTop w:val="0"/>
      <w:marBottom w:val="0"/>
      <w:divBdr>
        <w:top w:val="none" w:sz="0" w:space="0" w:color="auto"/>
        <w:left w:val="none" w:sz="0" w:space="0" w:color="auto"/>
        <w:bottom w:val="none" w:sz="0" w:space="0" w:color="auto"/>
        <w:right w:val="none" w:sz="0" w:space="0" w:color="auto"/>
      </w:divBdr>
    </w:div>
    <w:div w:id="1833326866">
      <w:bodyDiv w:val="1"/>
      <w:marLeft w:val="0"/>
      <w:marRight w:val="0"/>
      <w:marTop w:val="0"/>
      <w:marBottom w:val="0"/>
      <w:divBdr>
        <w:top w:val="none" w:sz="0" w:space="0" w:color="auto"/>
        <w:left w:val="none" w:sz="0" w:space="0" w:color="auto"/>
        <w:bottom w:val="none" w:sz="0" w:space="0" w:color="auto"/>
        <w:right w:val="none" w:sz="0" w:space="0" w:color="auto"/>
      </w:divBdr>
    </w:div>
    <w:div w:id="1837064254">
      <w:bodyDiv w:val="1"/>
      <w:marLeft w:val="0"/>
      <w:marRight w:val="0"/>
      <w:marTop w:val="0"/>
      <w:marBottom w:val="0"/>
      <w:divBdr>
        <w:top w:val="none" w:sz="0" w:space="0" w:color="auto"/>
        <w:left w:val="none" w:sz="0" w:space="0" w:color="auto"/>
        <w:bottom w:val="none" w:sz="0" w:space="0" w:color="auto"/>
        <w:right w:val="none" w:sz="0" w:space="0" w:color="auto"/>
      </w:divBdr>
    </w:div>
    <w:div w:id="1843422917">
      <w:bodyDiv w:val="1"/>
      <w:marLeft w:val="0"/>
      <w:marRight w:val="0"/>
      <w:marTop w:val="0"/>
      <w:marBottom w:val="0"/>
      <w:divBdr>
        <w:top w:val="none" w:sz="0" w:space="0" w:color="auto"/>
        <w:left w:val="none" w:sz="0" w:space="0" w:color="auto"/>
        <w:bottom w:val="none" w:sz="0" w:space="0" w:color="auto"/>
        <w:right w:val="none" w:sz="0" w:space="0" w:color="auto"/>
      </w:divBdr>
    </w:div>
    <w:div w:id="1864589531">
      <w:bodyDiv w:val="1"/>
      <w:marLeft w:val="0"/>
      <w:marRight w:val="0"/>
      <w:marTop w:val="0"/>
      <w:marBottom w:val="0"/>
      <w:divBdr>
        <w:top w:val="none" w:sz="0" w:space="0" w:color="auto"/>
        <w:left w:val="none" w:sz="0" w:space="0" w:color="auto"/>
        <w:bottom w:val="none" w:sz="0" w:space="0" w:color="auto"/>
        <w:right w:val="none" w:sz="0" w:space="0" w:color="auto"/>
      </w:divBdr>
    </w:div>
    <w:div w:id="1865554237">
      <w:bodyDiv w:val="1"/>
      <w:marLeft w:val="0"/>
      <w:marRight w:val="0"/>
      <w:marTop w:val="0"/>
      <w:marBottom w:val="0"/>
      <w:divBdr>
        <w:top w:val="none" w:sz="0" w:space="0" w:color="auto"/>
        <w:left w:val="none" w:sz="0" w:space="0" w:color="auto"/>
        <w:bottom w:val="none" w:sz="0" w:space="0" w:color="auto"/>
        <w:right w:val="none" w:sz="0" w:space="0" w:color="auto"/>
      </w:divBdr>
    </w:div>
    <w:div w:id="20942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zsholeh@uinsgd.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Mahar%20Hafalan%20al-Qur'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Sam201</b:Tag>
    <b:SourceType>JournalArticle</b:SourceType>
    <b:Guid>{57B132B9-0C98-47E8-A25B-F13AC449FD37}</b:Guid>
    <b:Title>Adat Pernikaha dan Nilai-Nilai Islami dalam Masyarakat Aceh Menurut Hukum Islam</b:Title>
    <b:Year>2020</b:Year>
    <b:Author>
      <b:Author>
        <b:NameList>
          <b:Person>
            <b:Last>Munawwarah</b:Last>
            <b:First>Samad</b:First>
            <b:Middle>dan</b:Middle>
          </b:Person>
        </b:NameList>
      </b:Author>
    </b:Author>
    <b:JournalName>El-USRAH: Jurnal Hukum Keluarga Volume 3, no.2</b:JournalName>
    <b:Pages>289-302</b:Pages>
    <b:RefOrder>1</b:RefOrder>
  </b:Source>
  <b:Source>
    <b:Tag>Ami161</b:Tag>
    <b:SourceType>Book</b:SourceType>
    <b:Guid>{9760E0DF-7821-4AFC-BCA8-A09286D8059E}</b:Guid>
    <b:Author>
      <b:Author>
        <b:NameList>
          <b:Person>
            <b:Last>Tarigan</b:Last>
            <b:First>Amiur</b:First>
            <b:Middle>Nuruddin dan Azhari Akmal</b:Middle>
          </b:Person>
        </b:NameList>
      </b:Author>
    </b:Author>
    <b:Title>Hukum Perdata Islam di Indonesia</b:Title>
    <b:Year>2016</b:Year>
    <b:Pages>64-67</b:Pages>
    <b:City>Jakarta</b:City>
    <b:Publisher> Kencana Prenada Media Group</b:Publisher>
    <b:RefOrder>2</b:RefOrder>
  </b:Source>
  <b:Source>
    <b:Tag>Nor14</b:Tag>
    <b:SourceType>JournalArticle</b:SourceType>
    <b:Guid>{B59607B3-7F5A-46F9-A4D6-C1843296F45C}</b:Guid>
    <b:Title>Tradisi Mahar di Ranah Lokalitas Umat Islam: Mahar dan Struktur Sosial di Masyarakat Muslim Indonesia</b:Title>
    <b:Year>2014</b:Year>
    <b:Author>
      <b:Author>
        <b:NameList>
          <b:Person>
            <b:Last>Aini</b:Last>
            <b:First>Noryamin</b:First>
          </b:Person>
        </b:NameList>
      </b:Author>
    </b:Author>
    <b:JournalName> Jurnal Ahkam Volume XIV, no. 1</b:JournalName>
    <b:Pages>13</b:Pages>
    <b:RefOrder>3</b:RefOrder>
  </b:Source>
  <b:Source>
    <b:Tag>Haf21</b:Tag>
    <b:SourceType>JournalArticle</b:SourceType>
    <b:Guid>{E401458D-2BF4-41DE-B66A-116D501BC3F8}</b:Guid>
    <b:Author>
      <b:Author>
        <b:NameList>
          <b:Person>
            <b:Last>Hafid</b:Last>
          </b:Person>
        </b:NameList>
      </b:Author>
    </b:Author>
    <b:Title>Analisis Konsep Mahar Berupa Hafalan Ayat Al-Qur’an dalam Perspektif Madzhibul Arbaah</b:Title>
    <b:JournalName> Jurnal Sirajuddin Volume 1, no.1 </b:JournalName>
    <b:Year>2021</b:Year>
    <b:Pages>1</b:Pages>
    <b:RefOrder>4</b:RefOrder>
  </b:Source>
  <b:Source>
    <b:Tag>Ita21</b:Tag>
    <b:SourceType>JournalArticle</b:SourceType>
    <b:Guid>{3528EAFE-C6A7-4D75-90CF-AE754466A2CD}</b:Guid>
    <b:Author>
      <b:Author>
        <b:NameList>
          <b:Person>
            <b:Last>Musarrofa</b:Last>
            <b:First>Ita</b:First>
          </b:Person>
        </b:NameList>
      </b:Author>
    </b:Author>
    <b:Title>ren Mahar di Era Digital (Tinjauan Sosiologi Hukum Islam Penggunaan Mahar Digital di Komunitas Dunia Cyber)</b:Title>
    <b:JournalName>Jurnal Hukum Islam Volume 19, no.1</b:JournalName>
    <b:Year>2021</b:Year>
    <b:Pages>1</b:Pages>
    <b:RefOrder>5</b:RefOrder>
  </b:Source>
  <b:Source>
    <b:Tag>Hus22</b:Tag>
    <b:SourceType>JournalArticle</b:SourceType>
    <b:Guid>{1BEB6E02-C89C-4437-95AD-8248CCBEBAE3}</b:Guid>
    <b:Author>
      <b:Author>
        <b:NameList>
          <b:Person>
            <b:Last>Husen</b:Last>
            <b:First>Hamdani</b:First>
          </b:Person>
        </b:NameList>
      </b:Author>
    </b:Author>
    <b:Title>Husen, Hamdani dkk, “Tradisi dan Status Sosial dalam Penetapan Mahar Perkawinan di Gampong Mamplam Aceh Utara”, Jurnal Ilmu Sosial dan Ilmu Politik Malikushaleh, Volume 3, no. 1, (2022): hlm.1.</b:Title>
    <b:JournalName> Jurnal Ilmu Sosial dan Ilmu Politik Malikushaleh, Volume 3, no. 1</b:JournalName>
    <b:Year>2022</b:Year>
    <b:Pages>1</b:Pages>
    <b:RefOrder>6</b:RefOrder>
  </b:Source>
  <b:Source>
    <b:Tag>Cre15</b:Tag>
    <b:SourceType>Book</b:SourceType>
    <b:Guid>{F36A6A3C-C643-4E02-94D2-6DD176466398}</b:Guid>
    <b:Title>Research Design: Pendekatan Kualitatif, Kuantitatif, dan Mixed</b:Title>
    <b:Year>2015</b:Year>
    <b:Author>
      <b:Author>
        <b:NameList>
          <b:Person>
            <b:Last>Creswell</b:Last>
            <b:First>J.W</b:First>
          </b:Person>
        </b:NameList>
      </b:Author>
    </b:Author>
    <b:City>Yogyakarta</b:City>
    <b:Publisher>Pustaka Pelajar</b:Publisher>
    <b:RefOrder>7</b:RefOrder>
  </b:Source>
  <b:Source>
    <b:Tag>Muh42</b:Tag>
    <b:SourceType>Book</b:SourceType>
    <b:Guid>{E07C5316-8BD4-48CB-959C-BAD05EBD3E64}</b:Guid>
    <b:Author>
      <b:Author>
        <b:NameList>
          <b:Person>
            <b:Last>Hamid</b:Last>
            <b:First>Muhammad</b:First>
            <b:Middle>Muhyiddin Abdul</b:Middle>
          </b:Person>
        </b:NameList>
      </b:Author>
    </b:Author>
    <b:Title>Al-Ahwal Al-Syakhsiyyah Fi Shari’atil Islamiyyah</b:Title>
    <b:Year>1942</b:Year>
    <b:City>Muhammad Muhyiddin Abdul Hamid, Al-Ahwal Al-Syakhsiyyah Fi Shari’atil Islamiyyah, Mesir: Maktabah at-Taijariyyah, (1942 M), hlm. 163.</b:City>
    <b:Publisher>Maktabah at-Taijariyyah</b:Publisher>
    <b:RefOrder>8</b:RefOrder>
  </b:Source>
  <b:Source>
    <b:Tag>Jam67</b:Tag>
    <b:SourceType>Book</b:SourceType>
    <b:Guid>{A6BE72D0-32EB-4EA9-96F1-FC91EE937A2F}</b:Guid>
    <b:Author>
      <b:Author>
        <b:NameList>
          <b:Person>
            <b:Last>Al-Kajrati</b:Last>
            <b:First>Jamaludiin</b:First>
            <b:Middle>Muhammad Tahir bin Ali</b:Middle>
          </b:Person>
        </b:NameList>
      </b:Author>
    </b:Author>
    <b:Title>, Mujma Bihar Al-Anwar Fi Gharaib at-Tanzil wa Lataif Al-Akhbar</b:Title>
    <b:Year>1967</b:Year>
    <b:City>Damaskus</b:City>
    <b:Publisher> Majlis Dairah al-Ma’arif al-Usmaniyah</b:Publisher>
    <b:RefOrder>9</b:RefOrder>
  </b:Source>
  <b:Source>
    <b:Tag>Muh93</b:Tag>
    <b:SourceType>Book</b:SourceType>
    <b:Guid>{F40C01D5-399D-4AB0-A94B-23F0396DAAE6}</b:Guid>
    <b:Author>
      <b:Author>
        <b:NameList>
          <b:Person>
            <b:Last>al-Sarkhasi</b:Last>
            <b:First>Muhammad</b:First>
            <b:Middle>bin Ahmad bin Sahl</b:Middle>
          </b:Person>
        </b:NameList>
      </b:Author>
    </b:Author>
    <b:Title> Al-Mabsuth</b:Title>
    <b:Year>1993</b:Year>
    <b:City>Beirut</b:City>
    <b:Publisher>Dar al-Mar’rifah</b:Publisher>
    <b:RefOrder>10</b:RefOrder>
  </b:Source>
  <b:Source>
    <b:Tag>Ala86</b:Tag>
    <b:SourceType>Book</b:SourceType>
    <b:Guid>{B15A0C33-C47B-46C0-8C46-1F4C3D76A618}</b:Guid>
    <b:Author>
      <b:Author>
        <b:NameList>
          <b:Person>
            <b:Last>al-Kasani</b:Last>
            <b:First>Alaudiin</b:First>
            <b:Middle>Abu Bakr bin Mas’ud bin Ahmad</b:Middle>
          </b:Person>
        </b:NameList>
      </b:Author>
    </b:Author>
    <b:Title>Bada’i Al-Sana’I Fi Tartib Al-Syara’i</b:Title>
    <b:Year>1986</b:Year>
    <b:City> Cairo</b:City>
    <b:Publisher>Dar al-Kutub al-Alamiyah</b:Publisher>
    <b:RefOrder>11</b:RefOrder>
  </b:Source>
  <b:Source>
    <b:Tag>Muh99</b:Tag>
    <b:SourceType>Book</b:SourceType>
    <b:Guid>{62BDB07D-8FD5-43BD-B370-B60EE125C5F8}</b:Guid>
    <b:Author>
      <b:Author>
        <b:NameList>
          <b:Person>
            <b:Last>al-Kharsi</b:Last>
            <b:First>Muhammad</b:First>
            <b:Middle>bin Abdullah</b:Middle>
          </b:Person>
        </b:NameList>
      </b:Author>
    </b:Author>
    <b:Title>Syarh Mukhtashar Khalil Li Al-Kharsi, Beirut: Dar al-Fikr al-Arabu</b:Title>
    <b:Year>1999</b:Year>
    <b:City> Beirut</b:City>
    <b:Publisher> Dar al-Fikr al-Arabu</b:Publisher>
    <b:RefOrder>12</b:RefOrder>
  </b:Source>
  <b:Source>
    <b:Tag>Muh991</b:Tag>
    <b:SourceType>Book</b:SourceType>
    <b:Guid>{0F57E871-B7E8-4DAE-904E-75A840508D2E}</b:Guid>
    <b:Author>
      <b:Author>
        <b:NameList>
          <b:Person>
            <b:Last>Sinaiki</b:Last>
            <b:First>Muhammad</b:First>
            <b:Middle>bin Ahmad Zainuddin Abu Yahya al</b:Middle>
          </b:Person>
        </b:NameList>
      </b:Author>
    </b:Author>
    <b:Title>Fath Al-Wahab Bi Syarh Minhaj At-Tullab, Beirut: Dar al-Fikr</b:Title>
    <b:Year>199</b:Year>
    <b:City>Beirut</b:City>
    <b:Publisher>Dar al-Fikr</b:Publisher>
    <b:RefOrder>13</b:RefOrder>
  </b:Source>
  <b:Source>
    <b:Tag>Mus11</b:Tag>
    <b:SourceType>Book</b:SourceType>
    <b:Guid>{FF89CF7D-6388-4194-9A20-18CBCAB3C691}</b:Guid>
    <b:Author>
      <b:Author>
        <b:NameList>
          <b:Person>
            <b:Last>Hasan</b:Last>
            <b:First>Mustofa</b:First>
          </b:Person>
        </b:NameList>
      </b:Author>
    </b:Author>
    <b:Title>Pengantar Hukum Keluarga</b:Title>
    <b:Year>2011</b:Year>
    <b:City>Bandung</b:City>
    <b:Publisher>CV Pustaka Setia</b:Publisher>
    <b:RefOrder>14</b:RefOrder>
  </b:Source>
  <b:Source>
    <b:Tag>Muh88</b:Tag>
    <b:SourceType>Book</b:SourceType>
    <b:Guid>{4C104340-4109-4C80-ABB3-79B1CA286765}</b:Guid>
    <b:Author>
      <b:Author>
        <b:NameList>
          <b:Person>
            <b:Last>Asyur</b:Last>
            <b:First>Muhammad</b:First>
            <b:Middle>al-Thahur bin</b:Middle>
          </b:Person>
        </b:NameList>
      </b:Author>
    </b:Author>
    <b:Title> Maqasid al-Syariah al-Islamiyyah</b:Title>
    <b:Year>1988</b:Year>
    <b:City>Tunisia</b:City>
    <b:Publisher> al-Syirkah al-Tunisiyah</b:Publisher>
    <b:RefOrder>15</b:RefOrder>
  </b:Source>
  <b:Source>
    <b:Tag>Wah10</b:Tag>
    <b:SourceType>Book</b:SourceType>
    <b:Guid>{18A5CB25-D4C6-4EC4-8E03-0C25B6C43EC1}</b:Guid>
    <b:Author>
      <b:Author>
        <b:NameList>
          <b:Person>
            <b:Last>Az-Zuhaili</b:Last>
            <b:First>Wahbah</b:First>
          </b:Person>
        </b:NameList>
      </b:Author>
    </b:Author>
    <b:Title>Fiqih Islam Wa Adillatuhu</b:Title>
    <b:Year>2010)</b:Year>
    <b:City>Jakarta</b:City>
    <b:Publisher>Gema Insani</b:Publisher>
    <b:RefOrder>16</b:RefOrder>
  </b:Source>
  <b:Source>
    <b:Tag>Abd18</b:Tag>
    <b:SourceType>JournalArticle</b:SourceType>
    <b:Guid>{9D855A07-E3BE-449F-842F-CC72B0CA3A83}</b:Guid>
    <b:Title>Eksistensi Mahar Pernikahan dalam Islam</b:Title>
    <b:Year>2018</b:Year>
    <b:Author>
      <b:Author>
        <b:NameList>
          <b:Person>
            <b:Last>Fitri</b:Last>
            <b:First>Abdul</b:First>
            <b:Middle>Basit Misbachul</b:Middle>
          </b:Person>
        </b:NameList>
      </b:Author>
    </b:Author>
    <b:Pages>2</b:Pages>
    <b:JournalName> Jurnal Usratuna Volume 2, no.1 </b:JournalName>
    <b:RefOrder>17</b:RefOrder>
  </b:Source>
  <b:Source>
    <b:Tag>Ibn19</b:Tag>
    <b:SourceType>JournalArticle</b:SourceType>
    <b:Guid>{436D0F0C-1E3E-4D0E-8DE6-FBD55C171D07}</b:Guid>
    <b:Author>
      <b:Author>
        <b:NameList>
          <b:Person>
            <b:Last>Jayusman</b:Last>
            <b:First>Ibnu</b:First>
            <b:Middle>Irawan da</b:Middle>
          </b:Person>
        </b:NameList>
      </b:Author>
    </b:Author>
    <b:Title>Mahar Hafalan al-Qur’an Perspektif Hukum Islam</b:Title>
    <b:JournalName>PALITA: Journal of Social-Religion Research, Volume 4 no.2 </b:JournalName>
    <b:Year>2019</b:Year>
    <b:Pages>13</b:Pages>
    <b:RefOrder>18</b:RefOrder>
  </b:Source>
</b:Sources>
</file>

<file path=customXml/itemProps1.xml><?xml version="1.0" encoding="utf-8"?>
<ds:datastoreItem xmlns:ds="http://schemas.openxmlformats.org/officeDocument/2006/customXml" ds:itemID="{4826002D-2071-4EEF-AB37-CABB5A6A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Mahar Hafalan al-Qur'an</Template>
  <TotalTime>10</TotalTime>
  <Pages>14</Pages>
  <Words>4200</Words>
  <Characters>23943</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&lt;Daftar Pustaka</vt:lpstr>
    </vt:vector>
  </TitlesOfParts>
  <Company>Hewlett-Packard Company</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dc:creator>
  <cp:lastModifiedBy>Shania Anwar</cp:lastModifiedBy>
  <cp:revision>4</cp:revision>
  <cp:lastPrinted>2020-08-31T14:16:00Z</cp:lastPrinted>
  <dcterms:created xsi:type="dcterms:W3CDTF">2023-09-23T05:46:00Z</dcterms:created>
  <dcterms:modified xsi:type="dcterms:W3CDTF">2023-09-25T12:02:00Z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id="VjoRuDRI"/&gt;&lt;style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